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25-YJ-062</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医用放大镜等设备采购项目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2"/>
        <w:rPr>
          <w:rFonts w:hint="eastAsia"/>
          <w:highlight w:val="none"/>
        </w:rPr>
      </w:pPr>
    </w:p>
    <w:p>
      <w:pPr>
        <w:pStyle w:val="2"/>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04</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w:t>
      </w:r>
      <w:r>
        <w:rPr>
          <w:rFonts w:hint="eastAsia" w:asciiTheme="majorEastAsia" w:hAnsiTheme="majorEastAsia" w:eastAsiaTheme="majorEastAsia" w:cstheme="majorEastAsia"/>
          <w:szCs w:val="28"/>
          <w:highlight w:val="none"/>
          <w:lang w:val="en-US" w:eastAsia="zh-CN"/>
        </w:rPr>
        <w:t>25-YJ-062</w:t>
      </w:r>
      <w:r>
        <w:rPr>
          <w:rFonts w:hint="eastAsia" w:asciiTheme="majorEastAsia" w:hAnsiTheme="majorEastAsia" w:eastAsiaTheme="majorEastAsia" w:cstheme="majorEastAsia"/>
          <w:szCs w:val="28"/>
          <w:highlight w:val="none"/>
          <w:lang w:val="en-US" w:eastAsia="zh-CN"/>
        </w:rPr>
        <w:t>医用放大镜等设备采购项目议价公告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7300"/>
      <w:bookmarkStart w:id="1" w:name="_Toc24593"/>
      <w:bookmarkStart w:id="2" w:name="_Toc11932"/>
      <w:bookmarkStart w:id="3" w:name="_Toc28895"/>
      <w:bookmarkStart w:id="4" w:name="_Toc2118"/>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w:t>
      </w:r>
      <w:r>
        <w:rPr>
          <w:rFonts w:hint="eastAsia" w:cs="宋体"/>
          <w:sz w:val="28"/>
          <w:szCs w:val="28"/>
          <w:highlight w:val="none"/>
          <w:lang w:val="en-US" w:eastAsia="zh-CN"/>
        </w:rPr>
        <w:t>25-YJ-062</w:t>
      </w:r>
      <w:r>
        <w:rPr>
          <w:rFonts w:hint="eastAsia" w:cs="宋体"/>
          <w:sz w:val="28"/>
          <w:szCs w:val="28"/>
          <w:highlight w:val="none"/>
          <w:lang w:val="en-US" w:eastAsia="zh-CN"/>
        </w:rPr>
        <w:t>医用放大镜等设备采购项目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w:t>
      </w:r>
      <w:r>
        <w:rPr>
          <w:rFonts w:hint="eastAsia" w:ascii="宋体" w:hAnsi="宋体" w:cs="宋体"/>
          <w:highlight w:val="none"/>
          <w:lang w:val="en-US" w:eastAsia="zh-CN"/>
        </w:rPr>
        <w:t>25-YJ-062</w:t>
      </w:r>
      <w:r>
        <w:rPr>
          <w:rFonts w:hint="eastAsia" w:ascii="宋体" w:hAnsi="宋体" w:cs="宋体"/>
          <w:highlight w:val="none"/>
          <w:lang w:val="en-US" w:eastAsia="zh-CN"/>
        </w:rPr>
        <w:t>医用放大镜等设备采购项目</w:t>
      </w:r>
      <w:r>
        <w:rPr>
          <w:rFonts w:hint="eastAsia" w:ascii="宋体" w:hAnsi="宋体" w:cs="宋体"/>
          <w:highlight w:val="none"/>
        </w:rPr>
        <w:t>的潜在供应商应在</w:t>
      </w:r>
      <w:r>
        <w:rPr>
          <w:rFonts w:hint="eastAsia" w:ascii="宋体" w:hAnsi="宋体" w:cs="宋体"/>
          <w:highlight w:val="none"/>
        </w:rPr>
        <w:t>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04</w:t>
      </w:r>
      <w:r>
        <w:rPr>
          <w:rFonts w:hint="eastAsia" w:ascii="宋体" w:hAnsi="宋体" w:cs="宋体"/>
          <w:highlight w:val="none"/>
        </w:rPr>
        <w:t>月</w:t>
      </w:r>
      <w:r>
        <w:rPr>
          <w:rFonts w:hint="eastAsia" w:ascii="宋体" w:hAnsi="宋体" w:cs="宋体"/>
          <w:highlight w:val="none"/>
          <w:lang w:val="en-US" w:eastAsia="zh-CN"/>
        </w:rPr>
        <w:t>14</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w:t>
      </w:r>
      <w:r>
        <w:rPr>
          <w:rFonts w:hint="eastAsia" w:ascii="宋体" w:hAnsi="宋体" w:cs="宋体"/>
          <w:highlight w:val="none"/>
        </w:rPr>
        <w:t>（北京时间）前报名。</w:t>
      </w:r>
    </w:p>
    <w:p>
      <w:pPr>
        <w:pStyle w:val="4"/>
        <w:widowControl/>
        <w:spacing w:before="0" w:beforeAutospacing="0" w:after="0" w:afterAutospacing="0" w:line="315" w:lineRule="atLeast"/>
        <w:rPr>
          <w:rFonts w:cs="宋体"/>
          <w:sz w:val="33"/>
          <w:szCs w:val="33"/>
          <w:highlight w:val="none"/>
        </w:rPr>
      </w:pPr>
      <w:r>
        <w:rPr>
          <w:rStyle w:val="19"/>
          <w:rFonts w:cs="宋体"/>
          <w:b/>
          <w:sz w:val="24"/>
          <w:szCs w:val="24"/>
          <w:highlight w:val="none"/>
        </w:rPr>
        <w:t>一、项目基本情况</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25-YJ-062</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w:t>
      </w:r>
      <w:r>
        <w:rPr>
          <w:rFonts w:hint="eastAsia" w:ascii="宋体" w:hAnsi="宋体" w:cs="宋体"/>
          <w:highlight w:val="none"/>
          <w:lang w:val="en-US" w:eastAsia="zh-CN"/>
        </w:rPr>
        <w:t>25-YJ-062</w:t>
      </w:r>
      <w:r>
        <w:rPr>
          <w:rFonts w:hint="eastAsia" w:ascii="宋体" w:hAnsi="宋体" w:cs="宋体"/>
          <w:highlight w:val="none"/>
          <w:lang w:val="en-US" w:eastAsia="zh-CN"/>
        </w:rPr>
        <w:t>医用放大镜等设备采购项目</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7"/>
        <w:widowControl/>
        <w:spacing w:before="0" w:beforeAutospacing="0" w:after="0" w:afterAutospacing="0" w:line="315" w:lineRule="atLeast"/>
        <w:ind w:firstLine="480"/>
        <w:rPr>
          <w:rFonts w:hint="eastAsia" w:ascii="宋体" w:hAnsi="宋体" w:cs="宋体"/>
          <w:highlight w:val="none"/>
        </w:rPr>
      </w:pPr>
    </w:p>
    <w:tbl>
      <w:tblPr>
        <w:tblStyle w:val="22"/>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医用放大镜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bookmarkStart w:id="14" w:name="_GoBack"/>
            <w:bookmarkEnd w:id="14"/>
            <w:r>
              <w:rPr>
                <w:rFonts w:hint="eastAsia" w:ascii="宋体" w:hAnsi="宋体" w:cs="宋体"/>
                <w:i w:val="0"/>
                <w:color w:val="auto"/>
                <w:sz w:val="24"/>
                <w:szCs w:val="24"/>
                <w:highlight w:val="none"/>
                <w:u w:val="none"/>
                <w:lang w:val="en-US" w:eastAsia="zh-CN"/>
              </w:rPr>
              <w:t>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手术照明灯</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default" w:ascii="宋体" w:hAnsi="宋体" w:cs="宋体"/>
                <w:i w:val="0"/>
                <w:color w:val="auto"/>
                <w:sz w:val="24"/>
                <w:szCs w:val="24"/>
                <w:highlight w:val="none"/>
                <w:u w:val="none"/>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特定电磁波波谱治疗器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地灯</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小动物CT用实验台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1个</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0.8</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r>
        <w:rPr>
          <w:rStyle w:val="19"/>
          <w:rFonts w:hint="eastAsia" w:ascii="宋体" w:hAnsi="宋体" w:cs="宋体"/>
          <w:highlight w:val="none"/>
        </w:rPr>
        <w:t>注：</w:t>
      </w:r>
      <w:r>
        <w:rPr>
          <w:rStyle w:val="19"/>
          <w:rFonts w:hint="eastAsia" w:ascii="宋体" w:hAnsi="宋体" w:cs="宋体"/>
          <w:highlight w:val="none"/>
          <w:lang w:val="en-US" w:eastAsia="zh-CN"/>
        </w:rPr>
        <w:t>本项目供应商报价不能超过采购预算金额，超过预算金额视为无效报价。</w:t>
      </w: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p>
    <w:p>
      <w:pPr>
        <w:pStyle w:val="17"/>
        <w:widowControl/>
        <w:spacing w:before="0" w:beforeAutospacing="0" w:after="0" w:afterAutospacing="0" w:line="315" w:lineRule="atLeast"/>
        <w:rPr>
          <w:rFonts w:hint="eastAsia" w:ascii="宋体" w:hAnsi="宋体" w:cs="宋体"/>
          <w:sz w:val="21"/>
          <w:szCs w:val="21"/>
          <w:highlight w:val="none"/>
        </w:rPr>
      </w:pPr>
      <w:r>
        <w:rPr>
          <w:rStyle w:val="19"/>
          <w:rFonts w:hint="eastAsia" w:ascii="宋体" w:hAnsi="宋体" w:cs="宋体"/>
          <w:highlight w:val="none"/>
        </w:rPr>
        <w:t>二、供应商资格要求：</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7"/>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19"/>
          <w:rFonts w:hint="eastAsia" w:ascii="宋体" w:hAnsi="宋体" w:cs="宋体"/>
          <w:b/>
          <w:highlight w:val="none"/>
        </w:rPr>
      </w:pPr>
      <w:r>
        <w:rPr>
          <w:rStyle w:val="19"/>
          <w:rFonts w:cs="宋体"/>
          <w:b/>
          <w:sz w:val="24"/>
          <w:szCs w:val="24"/>
          <w:highlight w:val="none"/>
        </w:rPr>
        <w:t>三、</w:t>
      </w:r>
      <w:r>
        <w:rPr>
          <w:rStyle w:val="19"/>
          <w:rFonts w:cs="宋体"/>
          <w:b/>
          <w:sz w:val="28"/>
          <w:szCs w:val="28"/>
          <w:highlight w:val="none"/>
        </w:rPr>
        <w:t>报名</w:t>
      </w:r>
      <w:r>
        <w:rPr>
          <w:rStyle w:val="19"/>
          <w:rFonts w:hint="eastAsia" w:ascii="宋体" w:hAnsi="宋体" w:cs="宋体"/>
          <w:b/>
          <w:sz w:val="28"/>
          <w:szCs w:val="28"/>
          <w:highlight w:val="none"/>
        </w:rPr>
        <w:t>方式：</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jdyyzbb@163.com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19"/>
          <w:rFonts w:hint="eastAsia" w:cs="宋体"/>
          <w:b w:val="0"/>
          <w:bCs w:val="0"/>
          <w:kern w:val="0"/>
          <w:sz w:val="24"/>
          <w:szCs w:val="24"/>
          <w:highlight w:val="none"/>
          <w:lang w:val="en-US" w:eastAsia="zh-CN" w:bidi="ar-SA"/>
        </w:rPr>
        <w:t xml:space="preserve">4.1  </w:t>
      </w:r>
      <w:r>
        <w:rPr>
          <w:rStyle w:val="19"/>
          <w:rFonts w:hint="eastAsia" w:cs="宋体"/>
          <w:b w:val="0"/>
          <w:bCs w:val="0"/>
          <w:color w:val="auto"/>
          <w:kern w:val="0"/>
          <w:sz w:val="24"/>
          <w:szCs w:val="24"/>
          <w:highlight w:val="none"/>
          <w:lang w:val="en-US" w:eastAsia="zh-CN" w:bidi="ar-SA"/>
        </w:rPr>
        <w:t>2025年04月23日09时00分</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议价地点：吉林大学第一医院8号楼一楼15会议室</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jdyyzbb@163.com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7"/>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rFonts w:hint="eastAsia" w:cs="Times New Roman"/>
          <w:b/>
          <w:bCs/>
          <w:sz w:val="28"/>
          <w:szCs w:val="28"/>
          <w:highlight w:val="none"/>
          <w:lang w:val="en-US" w:eastAsia="zh-CN"/>
        </w:rPr>
      </w:pPr>
      <w:bookmarkStart w:id="5" w:name="_Toc14606"/>
      <w:bookmarkStart w:id="6" w:name="_Toc10880"/>
      <w:bookmarkStart w:id="7" w:name="_Toc28369"/>
      <w:bookmarkStart w:id="8" w:name="_Toc5854"/>
      <w:bookmarkStart w:id="9" w:name="_Toc7164"/>
      <w:r>
        <w:rPr>
          <w:rFonts w:hint="eastAsia" w:cs="Times New Roman"/>
          <w:b/>
          <w:bCs/>
          <w:sz w:val="28"/>
          <w:szCs w:val="28"/>
          <w:highlight w:val="none"/>
          <w:lang w:val="en-US" w:eastAsia="zh-CN"/>
        </w:rPr>
        <w:t>序号1.医用放大镜</w:t>
      </w:r>
    </w:p>
    <w:tbl>
      <w:tblPr>
        <w:tblStyle w:val="23"/>
        <w:tblW w:w="11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2134" w:type="dxa"/>
            <w:vAlign w:val="center"/>
          </w:tcPr>
          <w:p>
            <w:pPr>
              <w:jc w:val="center"/>
              <w:rPr>
                <w:rFonts w:hint="default"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项目名称及数量</w:t>
            </w:r>
          </w:p>
        </w:tc>
        <w:tc>
          <w:tcPr>
            <w:tcW w:w="8986" w:type="dxa"/>
            <w:vAlign w:val="center"/>
          </w:tcPr>
          <w:p>
            <w:pPr>
              <w:jc w:val="center"/>
              <w:rPr>
                <w:rFonts w:hint="default" w:ascii="宋体" w:hAnsi="宋体" w:cs="宋体" w:eastAsiaTheme="minorEastAsia"/>
                <w:highlight w:val="none"/>
                <w:vertAlign w:val="baseline"/>
                <w:lang w:val="en-US" w:eastAsia="zh-CN"/>
              </w:rPr>
            </w:pPr>
            <w:r>
              <w:rPr>
                <w:rFonts w:hint="eastAsia" w:ascii="宋体" w:hAnsi="宋体" w:cs="宋体"/>
                <w:color w:val="auto"/>
                <w:kern w:val="0"/>
                <w:szCs w:val="21"/>
                <w:highlight w:val="none"/>
              </w:rPr>
              <w:t>医用放大镜/1套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2134" w:type="dxa"/>
            <w:vAlign w:val="center"/>
          </w:tcPr>
          <w:p>
            <w:pPr>
              <w:jc w:val="cente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预算单价</w:t>
            </w:r>
          </w:p>
        </w:tc>
        <w:tc>
          <w:tcPr>
            <w:tcW w:w="8986" w:type="dxa"/>
            <w:vAlign w:val="center"/>
          </w:tcPr>
          <w:p>
            <w:pPr>
              <w:jc w:val="center"/>
              <w:rPr>
                <w:rFonts w:hint="default"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8.28万元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9" w:hRule="atLeast"/>
          <w:jc w:val="center"/>
        </w:trPr>
        <w:tc>
          <w:tcPr>
            <w:tcW w:w="11120" w:type="dxa"/>
            <w:gridSpan w:val="2"/>
          </w:tcPr>
          <w:p>
            <w:pPr>
              <w:spacing w:line="240" w:lineRule="auto"/>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技术参数要求：</w:t>
            </w:r>
          </w:p>
          <w:p>
            <w:pPr>
              <w:pStyle w:val="28"/>
              <w:numPr>
                <w:ilvl w:val="0"/>
                <w:numId w:val="0"/>
              </w:numPr>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一、产品功能描述：使用者在术中保持清晰无失真的图像呈现，进而大幅度减轻眼睛疲劳。清晰的精度可让使用者在术中可见一般肉眼无法注意的细节进而提高工作上的准确度及效率。进口医用放大镜镜片为天文光学玻璃材质，精密光学涂层增加透光率，传输超过99.5%的光进入放大镜，增强景深的同时增加耐磨特性</w:t>
            </w:r>
          </w:p>
          <w:p>
            <w:pPr>
              <w:pStyle w:val="28"/>
              <w:numPr>
                <w:ilvl w:val="0"/>
                <w:numId w:val="0"/>
              </w:numPr>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二、产品用途描述：可以有效真实放大视野，使术者提高准确度及效率</w:t>
            </w:r>
          </w:p>
          <w:p>
            <w:pPr>
              <w:pStyle w:val="28"/>
              <w:numPr>
                <w:ilvl w:val="0"/>
                <w:numId w:val="0"/>
              </w:numPr>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三、产品技术参数：</w:t>
            </w:r>
          </w:p>
          <w:p>
            <w:pPr>
              <w:pStyle w:val="28"/>
              <w:numPr>
                <w:ilvl w:val="0"/>
                <w:numId w:val="0"/>
              </w:numPr>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1、医用放大镜： 3.5X </w:t>
            </w:r>
          </w:p>
          <w:p>
            <w:pPr>
              <w:pStyle w:val="28"/>
              <w:numPr>
                <w:ilvl w:val="0"/>
                <w:numId w:val="0"/>
              </w:numPr>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2、头盔式的佩戴方式，在使用中更轻便</w:t>
            </w:r>
          </w:p>
          <w:p>
            <w:pPr>
              <w:pStyle w:val="28"/>
              <w:numPr>
                <w:ilvl w:val="0"/>
                <w:numId w:val="0"/>
              </w:numPr>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3、可调节瞳距；工作距离：350-500mm</w:t>
            </w:r>
          </w:p>
          <w:p>
            <w:pPr>
              <w:pStyle w:val="28"/>
              <w:numPr>
                <w:ilvl w:val="0"/>
                <w:numId w:val="0"/>
              </w:numPr>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4、镜片：树脂材料，质地轻</w:t>
            </w:r>
          </w:p>
          <w:p>
            <w:pPr>
              <w:pStyle w:val="28"/>
              <w:numPr>
                <w:ilvl w:val="0"/>
                <w:numId w:val="0"/>
              </w:numPr>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5、目镜镜片：光学涂层增加透光率，增强景深</w:t>
            </w:r>
          </w:p>
          <w:p>
            <w:pPr>
              <w:pStyle w:val="28"/>
              <w:numPr>
                <w:ilvl w:val="0"/>
                <w:numId w:val="0"/>
              </w:numPr>
              <w:spacing w:line="240" w:lineRule="auto"/>
              <w:jc w:val="left"/>
              <w:rPr>
                <w:rFonts w:hint="default"/>
                <w:highlight w:val="none"/>
                <w:lang w:val="en-US" w:eastAsia="zh-CN"/>
              </w:rPr>
            </w:pPr>
            <w:r>
              <w:rPr>
                <w:rFonts w:hint="eastAsia" w:ascii="宋体" w:hAnsi="宋体" w:eastAsia="宋体" w:cs="宋体"/>
                <w:highlight w:val="none"/>
                <w:vertAlign w:val="baseline"/>
                <w:lang w:val="en-US" w:eastAsia="zh-CN"/>
              </w:rPr>
              <w:t>6、可调整倾角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2" w:hRule="atLeast"/>
          <w:jc w:val="center"/>
        </w:trPr>
        <w:tc>
          <w:tcPr>
            <w:tcW w:w="11120" w:type="dxa"/>
            <w:gridSpan w:val="2"/>
          </w:tcPr>
          <w:p>
            <w:pP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售后服务要求：</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1.免费保修期：（全保，包含但不限于人工费、零配件更换、软件升级等各项费用）不少于3年，并提供易损件报价和出保后保修价格；</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6.维保清单：投标人须提供专业全面的设备维护保养清单，并由设备生产厂家盖章确认；</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7.保养及质控：投标人保修期内每年至少提供2次设备维护保养和1次设备质控，并提供保养服务报告和质控报告；</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8.报告：投标人保修期内每年至少提供1次故障原因分析报告、质控报告、年度设备运行状态报告；特殊故障时必须提交故障分析报告；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9.设备校准：需校准的实验室设备，投标人提供每年一次设备校准，免费提供设备校准所需的试剂及耗材，并提供校准报告。如设备维修后需校准，也免费提供以上服务；</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12.系统升级：投标人提供原厂系统免费软件升级；</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13.开机率：设备保修期内，投标人须保证设备开机率达到95%以上（如未达到，按该设备上个月的收入总额计算每日平均值按日赔偿甲方损失，或相应延长保修期，如延长保修期，质保金的给付日期也相应延长）；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15.售后服务承诺：投标人须对以上所有服务条款进行承诺，并提供售后服务承诺函（售后服务员承诺函需投标人和设备生产厂家双方法人代表授权人签字并加盖单位公章）；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highlight w:val="none"/>
                <w:vertAlign w:val="baseline"/>
                <w:lang w:val="en-US" w:eastAsia="zh-CN"/>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16.售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序号2.手术照明灯</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项目名称及数量</w:t>
            </w:r>
          </w:p>
        </w:tc>
        <w:tc>
          <w:tcPr>
            <w:tcW w:w="7641" w:type="dxa"/>
            <w:vAlign w:val="center"/>
          </w:tcPr>
          <w:p>
            <w:pPr>
              <w:jc w:val="center"/>
              <w:rPr>
                <w:rFonts w:hint="default" w:ascii="宋体" w:hAnsi="宋体" w:cs="宋体" w:eastAsiaTheme="minorEastAsia"/>
                <w:highlight w:val="none"/>
                <w:vertAlign w:val="baseline"/>
                <w:lang w:val="en-US" w:eastAsia="zh-CN"/>
              </w:rPr>
            </w:pPr>
            <w:r>
              <w:rPr>
                <w:rFonts w:hint="eastAsia" w:ascii="宋体" w:hAnsi="宋体" w:cs="宋体"/>
                <w:color w:val="auto"/>
                <w:kern w:val="0"/>
                <w:szCs w:val="21"/>
                <w:highlight w:val="none"/>
              </w:rPr>
              <w:t>手术照明灯/1套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预算单价</w:t>
            </w:r>
          </w:p>
        </w:tc>
        <w:tc>
          <w:tcPr>
            <w:tcW w:w="7641" w:type="dxa"/>
            <w:vAlign w:val="center"/>
          </w:tcPr>
          <w:p>
            <w:pPr>
              <w:jc w:val="center"/>
              <w:rPr>
                <w:rFonts w:hint="default"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5.6</w:t>
            </w:r>
            <w:r>
              <w:rPr>
                <w:rFonts w:hint="eastAsia" w:ascii="宋体" w:hAnsi="宋体" w:eastAsia="宋体" w:cs="宋体"/>
                <w:highlight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技术参数要求：</w:t>
            </w:r>
          </w:p>
          <w:p>
            <w:pPr>
              <w:pStyle w:val="28"/>
              <w:numPr>
                <w:ilvl w:val="0"/>
                <w:numId w:val="0"/>
              </w:numPr>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一、产品功能描述：手术照明灯：目前实验室的进步，使得创口越来越小，手术室内无影灯因为高度与术室的情况导致不能完全照到术室位置，所以需要增加补光，使其术室更清</w:t>
            </w:r>
          </w:p>
          <w:p>
            <w:pPr>
              <w:pStyle w:val="28"/>
              <w:numPr>
                <w:ilvl w:val="0"/>
                <w:numId w:val="0"/>
              </w:numPr>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二、产品用途描述：手术照明灯：可以有效补光使其术室位置视野更为清晰</w:t>
            </w:r>
          </w:p>
          <w:p>
            <w:pPr>
              <w:pStyle w:val="28"/>
              <w:numPr>
                <w:ilvl w:val="0"/>
                <w:numId w:val="0"/>
              </w:numPr>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三、产品技术参数：</w:t>
            </w:r>
          </w:p>
          <w:p>
            <w:pPr>
              <w:pStyle w:val="28"/>
              <w:numPr>
                <w:ilvl w:val="0"/>
                <w:numId w:val="0"/>
              </w:numPr>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1、重量：≤25克</w:t>
            </w:r>
          </w:p>
          <w:p>
            <w:pPr>
              <w:pStyle w:val="28"/>
              <w:numPr>
                <w:ilvl w:val="0"/>
                <w:numId w:val="0"/>
              </w:numPr>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2、工作时长：单块电池最大亮度≥6小时</w:t>
            </w:r>
          </w:p>
          <w:p>
            <w:pPr>
              <w:pStyle w:val="28"/>
              <w:numPr>
                <w:ilvl w:val="0"/>
                <w:numId w:val="0"/>
              </w:numPr>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3、性能：符合蓝光标准，色温5500-5700K，光照输出：≥50000Lux ；光斑直径：≥8.3cm</w:t>
            </w:r>
          </w:p>
          <w:p>
            <w:pPr>
              <w:pStyle w:val="28"/>
              <w:numPr>
                <w:ilvl w:val="0"/>
                <w:numId w:val="0"/>
              </w:numPr>
              <w:spacing w:line="240" w:lineRule="auto"/>
              <w:jc w:val="left"/>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4、一键控制功能，多档调节</w:t>
            </w:r>
          </w:p>
          <w:p>
            <w:pPr>
              <w:pStyle w:val="28"/>
              <w:numPr>
                <w:ilvl w:val="0"/>
                <w:numId w:val="0"/>
              </w:numPr>
              <w:spacing w:line="240" w:lineRule="auto"/>
              <w:jc w:val="left"/>
              <w:rPr>
                <w:rFonts w:hint="default"/>
                <w:highlight w:val="none"/>
                <w:lang w:val="en-US" w:eastAsia="zh-CN"/>
              </w:rPr>
            </w:pPr>
            <w:r>
              <w:rPr>
                <w:rFonts w:hint="eastAsia" w:ascii="宋体" w:hAnsi="宋体" w:eastAsia="宋体" w:cs="宋体"/>
                <w:highlight w:val="none"/>
                <w:vertAlign w:val="baseline"/>
                <w:lang w:val="en-US" w:eastAsia="zh-CN"/>
              </w:rPr>
              <w:t>5、配有电池充电器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售后服务要求：</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1.免费保修期：（全保，包含但不限于人工费、零配件更换、软件升级等各项费用）不少于3年，并提供易损件报价和出保后保修价格；</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3.零备件供应：所有更换的零配件均为原厂认证合格的、未经使用的零配件，且备品备件库须保证设备10年以上使用；</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4.响应时间要求：投标人接到维修电话后应在2小时内做应答处理，24小时内到现场服务排除故障；</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5.保修期内服务时间：维修、维护工作时间包含周末和其他非标准工作时间，即365天×24小时服务；</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6.维保清单：投标人须提供专业全面的设备维护保养清单，并由设备生产厂家盖章确认；</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7.保养及质控：投标人保修期内每年至少提供2次设备维护保养和1次设备质控，并提供保养服务报告和质控报告；</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8.报告：投标人保修期内每年至少提供1次故障原因分析报告、质控报告、年度设备运行状态报告；特殊故障时必须提交故障分析报告；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9.设备校准：需校准的实验室设备，投标人提供每年一次设备校准，免费提供设备校准所需的试剂及耗材，并提供校准报告。如设备维修后需校准，也免费提供以上服务；</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10.培训：投标人免费提供设备使用中必要的培训及指导，直至使用人员及医学工程师能够正确了解使用本设备；</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11.资料提供：投标人须向甲方提供设备使用维护手册、维修手册、软件备份、故障代码表、维修密码等维护维修必需的材料和信息；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12.系统升级：投标人提供原厂系统免费软件升级；</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13.开机率：设备保修期内，投标人须保证设备开机率达到95%以上（如未达到，按该设备上个月的收入总额计算每日平均值按日赔偿甲方损失，或相应延长保修期，如延长保修期，质保金的给付日期也相应延长）；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14.伴随技术服务：大型特殊设备使用初期，如手术、诊断检查过程中，投标人需提供伴随服务，配备手术跟台、设备操作指导工程师一名，协助甲方设备使用人员调试、操作设备，保证相关工作顺利进行，且提供伴随服务工程师要求有临床相关专业经验和相应资质；</w:t>
            </w:r>
          </w:p>
          <w:p>
            <w:pPr>
              <w:pStyle w:val="28"/>
              <w:numPr>
                <w:ilvl w:val="0"/>
                <w:numId w:val="0"/>
              </w:numPr>
              <w:jc w:val="left"/>
              <w:rPr>
                <w:rFonts w:hint="eastAsia" w:ascii="宋体" w:hAnsi="宋体" w:cs="宋体"/>
                <w:i w:val="0"/>
                <w:iCs w:val="0"/>
                <w:color w:val="000000"/>
                <w:kern w:val="0"/>
                <w:sz w:val="21"/>
                <w:szCs w:val="21"/>
                <w:highlight w:val="none"/>
                <w:u w:val="none"/>
                <w:lang w:val="en-US" w:eastAsia="zh-CN" w:bidi="ar"/>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15.售后服务承诺：投标人须对以上所有服务条款进行承诺，并提供售后服务承诺函（售后服务员承诺函需投标人和设备生产厂家双方法人代表授权人签字并加盖单位公章）；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highlight w:val="none"/>
                <w:vertAlign w:val="baseline"/>
                <w:lang w:val="en-US" w:eastAsia="zh-CN"/>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16.售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序号3.特定电磁波波谱治疗器</w:t>
      </w:r>
    </w:p>
    <w:tbl>
      <w:tblPr>
        <w:tblStyle w:val="23"/>
        <w:tblW w:w="10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957" w:type="dxa"/>
            <w:vAlign w:val="center"/>
          </w:tcPr>
          <w:p>
            <w:pPr>
              <w:jc w:val="center"/>
              <w:rPr>
                <w:rFonts w:hint="default"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项目名称及数量</w:t>
            </w:r>
          </w:p>
        </w:tc>
        <w:tc>
          <w:tcPr>
            <w:tcW w:w="8243" w:type="dxa"/>
            <w:vAlign w:val="center"/>
          </w:tcPr>
          <w:p>
            <w:pPr>
              <w:jc w:val="center"/>
              <w:rPr>
                <w:rFonts w:hint="default" w:ascii="宋体" w:hAnsi="宋体" w:cs="宋体" w:eastAsiaTheme="minorEastAsia"/>
                <w:highlight w:val="none"/>
                <w:vertAlign w:val="baseline"/>
                <w:lang w:val="en-US" w:eastAsia="zh-CN"/>
              </w:rPr>
            </w:pPr>
            <w:r>
              <w:rPr>
                <w:rFonts w:hint="eastAsia" w:ascii="宋体" w:hAnsi="宋体" w:cs="宋体"/>
                <w:color w:val="auto"/>
                <w:kern w:val="0"/>
                <w:szCs w:val="21"/>
                <w:highlight w:val="none"/>
              </w:rPr>
              <w:t>特定电磁波波谱治疗器/5台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1957" w:type="dxa"/>
            <w:vAlign w:val="center"/>
          </w:tcPr>
          <w:p>
            <w:pPr>
              <w:jc w:val="cente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预算单价</w:t>
            </w:r>
          </w:p>
        </w:tc>
        <w:tc>
          <w:tcPr>
            <w:tcW w:w="8243" w:type="dxa"/>
            <w:vAlign w:val="center"/>
          </w:tcPr>
          <w:p>
            <w:pPr>
              <w:jc w:val="center"/>
              <w:rPr>
                <w:rFonts w:hint="default"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0.05</w:t>
            </w:r>
            <w:r>
              <w:rPr>
                <w:rFonts w:hint="eastAsia" w:ascii="宋体" w:hAnsi="宋体" w:eastAsia="宋体" w:cs="宋体"/>
                <w:highlight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1" w:hRule="atLeast"/>
          <w:jc w:val="center"/>
        </w:trPr>
        <w:tc>
          <w:tcPr>
            <w:tcW w:w="10200" w:type="dxa"/>
            <w:gridSpan w:val="2"/>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技术参数要求：</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一、产品功能描述：利用红外线辐射热做局部理疗</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二、产品用途描述：利用红外线辐射热做局部理疗</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三、产品技术参数：</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1、灯管加热、快速升温、照射头为大头；</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2、计时方式：机械定时(0～60分钟)及常通； </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3、转头为自动锁扣，正面转动时无需松紧旋钮； </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4、设备倾倒可自动断电； </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5、可根据需要设定时间； </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6、支臂灵活，结实耐用，多段可调； </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7、底座加重，自带滑轮及滑轮锁； </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8、电压：220V； </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9、功率：300W； </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10、频率：50Hz； </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11、光谱波长：2～25μm； </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12、俯仰角：270°； </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highlight w:val="none"/>
                <w:lang w:val="en-US" w:eastAsia="zh-CN"/>
              </w:rPr>
            </w:pPr>
            <w:r>
              <w:rPr>
                <w:rFonts w:hint="eastAsia" w:ascii="宋体" w:hAnsi="宋体" w:eastAsia="宋体" w:cs="宋体"/>
                <w:highlight w:val="none"/>
                <w:vertAlign w:val="baseline"/>
                <w:lang w:val="en-US" w:eastAsia="zh-CN"/>
              </w:rPr>
              <w:t>13、转角：360°。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1" w:hRule="atLeast"/>
          <w:jc w:val="center"/>
        </w:trPr>
        <w:tc>
          <w:tcPr>
            <w:tcW w:w="10200" w:type="dxa"/>
            <w:gridSpan w:val="2"/>
          </w:tcPr>
          <w:p>
            <w:pP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售后服务要求：</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highlight w:val="none"/>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highlight w:val="none"/>
              </w:rPr>
            </w:pP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highlight w:val="none"/>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10.</w:t>
            </w:r>
            <w:r>
              <w:rPr>
                <w:rFonts w:hint="eastAsia" w:ascii="宋体" w:hAnsi="宋体" w:eastAsia="宋体" w:cs="宋体"/>
                <w:i w:val="0"/>
                <w:iCs w:val="0"/>
                <w:color w:val="000000"/>
                <w:kern w:val="0"/>
                <w:sz w:val="21"/>
                <w:szCs w:val="21"/>
                <w:highlight w:val="none"/>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11.</w:t>
            </w:r>
            <w:r>
              <w:rPr>
                <w:rFonts w:hint="eastAsia" w:ascii="宋体" w:hAnsi="宋体" w:eastAsia="宋体" w:cs="宋体"/>
                <w:i w:val="0"/>
                <w:iCs w:val="0"/>
                <w:color w:val="000000"/>
                <w:kern w:val="0"/>
                <w:sz w:val="21"/>
                <w:szCs w:val="21"/>
                <w:highlight w:val="none"/>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12.</w:t>
            </w:r>
            <w:r>
              <w:rPr>
                <w:rFonts w:hint="eastAsia" w:ascii="宋体" w:hAnsi="宋体" w:eastAsia="宋体" w:cs="宋体"/>
                <w:i w:val="0"/>
                <w:iCs w:val="0"/>
                <w:color w:val="000000"/>
                <w:kern w:val="0"/>
                <w:sz w:val="21"/>
                <w:szCs w:val="21"/>
                <w:highlight w:val="none"/>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highlight w:val="none"/>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highlight w:val="none"/>
                <w:u w:val="none"/>
                <w:lang w:val="en-US" w:eastAsia="zh-CN" w:bidi="ar"/>
              </w:rPr>
              <w:t>有临床相关专业经验和相应资质；</w:t>
            </w:r>
          </w:p>
          <w:p>
            <w:pPr>
              <w:pStyle w:val="28"/>
              <w:numPr>
                <w:ilvl w:val="0"/>
                <w:numId w:val="0"/>
              </w:numPr>
              <w:jc w:val="left"/>
              <w:rPr>
                <w:rFonts w:hint="eastAsia" w:ascii="宋体" w:hAnsi="宋体" w:eastAsia="宋体" w:cs="宋体"/>
                <w:highlight w:val="none"/>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highlight w:val="none"/>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highlight w:val="none"/>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序号4.地灯</w:t>
      </w:r>
    </w:p>
    <w:tbl>
      <w:tblPr>
        <w:tblStyle w:val="23"/>
        <w:tblW w:w="10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2080" w:type="dxa"/>
            <w:vAlign w:val="center"/>
          </w:tcPr>
          <w:p>
            <w:pPr>
              <w:jc w:val="center"/>
              <w:rPr>
                <w:rFonts w:hint="default"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项目名称及数量</w:t>
            </w:r>
          </w:p>
        </w:tc>
        <w:tc>
          <w:tcPr>
            <w:tcW w:w="8760" w:type="dxa"/>
            <w:vAlign w:val="center"/>
          </w:tcPr>
          <w:p>
            <w:pPr>
              <w:jc w:val="center"/>
              <w:rPr>
                <w:rFonts w:hint="default" w:ascii="宋体" w:hAnsi="宋体" w:cs="宋体" w:eastAsiaTheme="minorEastAsia"/>
                <w:highlight w:val="none"/>
                <w:vertAlign w:val="baseline"/>
                <w:lang w:val="en-US" w:eastAsia="zh-CN"/>
              </w:rPr>
            </w:pPr>
            <w:r>
              <w:rPr>
                <w:rFonts w:hint="eastAsia" w:ascii="宋体" w:hAnsi="宋体" w:cs="宋体"/>
                <w:color w:val="auto"/>
                <w:kern w:val="0"/>
                <w:szCs w:val="21"/>
                <w:highlight w:val="none"/>
              </w:rPr>
              <w:t>地灯/1台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2080" w:type="dxa"/>
            <w:vAlign w:val="center"/>
          </w:tcPr>
          <w:p>
            <w:pPr>
              <w:jc w:val="cente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预算单价</w:t>
            </w:r>
          </w:p>
        </w:tc>
        <w:tc>
          <w:tcPr>
            <w:tcW w:w="8760" w:type="dxa"/>
            <w:vAlign w:val="center"/>
          </w:tcPr>
          <w:p>
            <w:pPr>
              <w:jc w:val="center"/>
              <w:rPr>
                <w:rFonts w:hint="default"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0.5</w:t>
            </w:r>
            <w:r>
              <w:rPr>
                <w:rFonts w:hint="eastAsia" w:ascii="宋体" w:hAnsi="宋体" w:eastAsia="宋体" w:cs="宋体"/>
                <w:highlight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91" w:hRule="atLeast"/>
          <w:jc w:val="center"/>
        </w:trPr>
        <w:tc>
          <w:tcPr>
            <w:tcW w:w="10840" w:type="dxa"/>
            <w:gridSpan w:val="2"/>
          </w:tcPr>
          <w:p>
            <w:pPr>
              <w:spacing w:line="240" w:lineRule="auto"/>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技术参数要求：</w:t>
            </w:r>
          </w:p>
          <w:p>
            <w:pPr>
              <w:bidi w:val="0"/>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一、产品功能描述：可以在术后出血时照亮止血区域。</w:t>
            </w:r>
          </w:p>
          <w:p>
            <w:pPr>
              <w:bidi w:val="0"/>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二、产品用途描述：用于术后止血区域的照明。</w:t>
            </w:r>
          </w:p>
          <w:p>
            <w:pPr>
              <w:bidi w:val="0"/>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三、产品技术参数：</w:t>
            </w:r>
          </w:p>
          <w:p>
            <w:pPr>
              <w:bidi w:val="0"/>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1、头部可扭转，亮度可调节；</w:t>
            </w:r>
          </w:p>
          <w:p>
            <w:pPr>
              <w:bidi w:val="0"/>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2、LED 冷光源；</w:t>
            </w:r>
          </w:p>
          <w:p>
            <w:pPr>
              <w:bidi w:val="0"/>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3、前后、左右 转动：≥180 度；</w:t>
            </w:r>
          </w:p>
          <w:p>
            <w:pPr>
              <w:bidi w:val="0"/>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4、流线型设计；  </w:t>
            </w:r>
          </w:p>
          <w:p>
            <w:pPr>
              <w:bidi w:val="0"/>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5、照度 ：≥30000lux； </w:t>
            </w:r>
          </w:p>
          <w:p>
            <w:pPr>
              <w:bidi w:val="0"/>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6、显色指数： Ra 85-100； </w:t>
            </w:r>
          </w:p>
          <w:p>
            <w:pPr>
              <w:bidi w:val="0"/>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7、色温 ：TC 3000-6700k； </w:t>
            </w:r>
          </w:p>
          <w:p>
            <w:pPr>
              <w:bidi w:val="0"/>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8、左右旋转角度：≥180°；  </w:t>
            </w:r>
          </w:p>
          <w:p>
            <w:pPr>
              <w:bidi w:val="0"/>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9、前后旋转角度：≥180°； </w:t>
            </w:r>
          </w:p>
          <w:p>
            <w:pPr>
              <w:bidi w:val="0"/>
              <w:spacing w:line="240" w:lineRule="auto"/>
              <w:rPr>
                <w:rFonts w:hint="eastAsia" w:ascii="宋体" w:hAnsi="宋体" w:eastAsia="宋体" w:cs="宋体"/>
                <w:highlight w:val="none"/>
                <w:vertAlign w:val="baseline"/>
                <w:lang w:val="en-US" w:eastAsia="zh-CN"/>
              </w:rPr>
            </w:pPr>
            <w:r>
              <w:rPr>
                <w:rFonts w:hint="eastAsia" w:ascii="宋体" w:hAnsi="宋体" w:eastAsia="宋体" w:cs="宋体"/>
                <w:highlight w:val="none"/>
                <w:vertAlign w:val="baseline"/>
                <w:lang w:val="en-US" w:eastAsia="zh-CN"/>
              </w:rPr>
              <w:t xml:space="preserve">10、升降距离：≥500mm；  </w:t>
            </w:r>
          </w:p>
          <w:p>
            <w:pPr>
              <w:bidi w:val="0"/>
              <w:spacing w:line="240" w:lineRule="auto"/>
              <w:rPr>
                <w:rFonts w:hint="default"/>
                <w:highlight w:val="none"/>
                <w:lang w:val="en-US" w:eastAsia="zh-CN"/>
              </w:rPr>
            </w:pPr>
            <w:r>
              <w:rPr>
                <w:rFonts w:hint="eastAsia" w:ascii="宋体" w:hAnsi="宋体" w:eastAsia="宋体" w:cs="宋体"/>
                <w:highlight w:val="none"/>
                <w:vertAlign w:val="baseline"/>
                <w:lang w:val="en-US" w:eastAsia="zh-CN"/>
              </w:rPr>
              <w:t>11、输入功率： VA 220±10％，50HZ；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7" w:hRule="atLeast"/>
          <w:jc w:val="center"/>
        </w:trPr>
        <w:tc>
          <w:tcPr>
            <w:tcW w:w="10840" w:type="dxa"/>
            <w:gridSpan w:val="2"/>
          </w:tcPr>
          <w:p>
            <w:pP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售后服务要求：</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highlight w:val="none"/>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highlight w:val="none"/>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10.</w:t>
            </w:r>
            <w:r>
              <w:rPr>
                <w:rFonts w:hint="eastAsia" w:ascii="宋体" w:hAnsi="宋体" w:eastAsia="宋体" w:cs="宋体"/>
                <w:i w:val="0"/>
                <w:iCs w:val="0"/>
                <w:color w:val="000000"/>
                <w:kern w:val="0"/>
                <w:sz w:val="21"/>
                <w:szCs w:val="21"/>
                <w:highlight w:val="none"/>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11.</w:t>
            </w:r>
            <w:r>
              <w:rPr>
                <w:rFonts w:hint="eastAsia" w:ascii="宋体" w:hAnsi="宋体" w:eastAsia="宋体" w:cs="宋体"/>
                <w:i w:val="0"/>
                <w:iCs w:val="0"/>
                <w:color w:val="000000"/>
                <w:kern w:val="0"/>
                <w:sz w:val="21"/>
                <w:szCs w:val="21"/>
                <w:highlight w:val="none"/>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12.</w:t>
            </w:r>
            <w:r>
              <w:rPr>
                <w:rFonts w:hint="eastAsia" w:ascii="宋体" w:hAnsi="宋体" w:eastAsia="宋体" w:cs="宋体"/>
                <w:i w:val="0"/>
                <w:iCs w:val="0"/>
                <w:color w:val="000000"/>
                <w:kern w:val="0"/>
                <w:sz w:val="21"/>
                <w:szCs w:val="21"/>
                <w:highlight w:val="none"/>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highlight w:val="none"/>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highlight w:val="none"/>
                <w:u w:val="none"/>
                <w:lang w:val="en-US" w:eastAsia="zh-CN" w:bidi="ar"/>
              </w:rPr>
              <w:t>有临床相关专业经验和相应资质；</w:t>
            </w:r>
          </w:p>
          <w:p>
            <w:pPr>
              <w:pStyle w:val="28"/>
              <w:numPr>
                <w:ilvl w:val="0"/>
                <w:numId w:val="0"/>
              </w:numPr>
              <w:jc w:val="left"/>
              <w:rPr>
                <w:rFonts w:hint="eastAsia" w:ascii="宋体" w:hAnsi="宋体" w:eastAsia="宋体" w:cs="宋体"/>
                <w:highlight w:val="none"/>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highlight w:val="none"/>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highlight w:val="none"/>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序号5.小动物CT用实验台</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项目名称及数量</w:t>
            </w:r>
          </w:p>
        </w:tc>
        <w:tc>
          <w:tcPr>
            <w:tcW w:w="7641" w:type="dxa"/>
            <w:vAlign w:val="center"/>
          </w:tcPr>
          <w:p>
            <w:pPr>
              <w:jc w:val="center"/>
              <w:rPr>
                <w:rFonts w:hint="default" w:ascii="宋体" w:hAnsi="宋体" w:cs="宋体" w:eastAsiaTheme="minorEastAsia"/>
                <w:highlight w:val="none"/>
                <w:vertAlign w:val="baseline"/>
                <w:lang w:val="en-US" w:eastAsia="zh-CN"/>
              </w:rPr>
            </w:pPr>
            <w:r>
              <w:rPr>
                <w:rFonts w:hint="eastAsia" w:ascii="宋体" w:hAnsi="宋体" w:eastAsia="宋体" w:cs="宋体"/>
                <w:highlight w:val="none"/>
                <w:vertAlign w:val="baseline"/>
                <w:lang w:val="en-US" w:eastAsia="zh-CN"/>
              </w:rPr>
              <w:t>小动物CT用实验台/1个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预算单价</w:t>
            </w:r>
          </w:p>
        </w:tc>
        <w:tc>
          <w:tcPr>
            <w:tcW w:w="7641" w:type="dxa"/>
            <w:vAlign w:val="center"/>
          </w:tcPr>
          <w:p>
            <w:pPr>
              <w:jc w:val="center"/>
              <w:rPr>
                <w:rFonts w:hint="default" w:ascii="宋体" w:hAnsi="宋体" w:eastAsia="宋体" w:cs="宋体"/>
                <w:highlight w:val="none"/>
                <w:vertAlign w:val="baseline"/>
                <w:lang w:val="en-US" w:eastAsia="zh-CN"/>
              </w:rPr>
            </w:pPr>
            <w:r>
              <w:rPr>
                <w:rFonts w:hint="eastAsia" w:ascii="宋体" w:hAnsi="宋体" w:cs="宋体"/>
                <w:highlight w:val="none"/>
                <w:vertAlign w:val="baseline"/>
                <w:lang w:val="en-US" w:eastAsia="zh-CN"/>
              </w:rPr>
              <w:t>0.8</w:t>
            </w:r>
            <w:r>
              <w:rPr>
                <w:rFonts w:hint="eastAsia" w:ascii="宋体" w:hAnsi="宋体" w:eastAsia="宋体" w:cs="宋体"/>
                <w:highlight w:val="none"/>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9455" w:type="dxa"/>
            <w:gridSpan w:val="2"/>
          </w:tcPr>
          <w:p>
            <w:pPr>
              <w:spacing w:line="240" w:lineRule="auto"/>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技术参数要求：</w:t>
            </w:r>
          </w:p>
          <w:p>
            <w:pPr>
              <w:bidi w:val="0"/>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一、产品功能描述：用于放置小动物CT</w:t>
            </w:r>
          </w:p>
          <w:p>
            <w:pPr>
              <w:bidi w:val="0"/>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二、产品用途描述：用于放置小动物CT</w:t>
            </w:r>
          </w:p>
          <w:p>
            <w:pPr>
              <w:bidi w:val="0"/>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三、产品技术参数：</w:t>
            </w:r>
          </w:p>
          <w:p>
            <w:pPr>
              <w:bidi w:val="0"/>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1.尺寸规格要求：长 1200mm 宽1800mm高500mm（包括台面厚度和滑轮高度在内一共高500mm）</w:t>
            </w:r>
          </w:p>
          <w:p>
            <w:pPr>
              <w:bidi w:val="0"/>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2.实验台需要能够承重不小于1000kg</w:t>
            </w:r>
          </w:p>
          <w:p>
            <w:pPr>
              <w:bidi w:val="0"/>
              <w:spacing w:line="240" w:lineRule="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3.通体采用不锈钢材料，桌面需要防静电</w:t>
            </w:r>
          </w:p>
          <w:p>
            <w:pPr>
              <w:bidi w:val="0"/>
              <w:spacing w:line="240" w:lineRule="auto"/>
              <w:rPr>
                <w:rFonts w:hint="default"/>
                <w:highlight w:val="none"/>
                <w:lang w:val="en-US" w:eastAsia="zh-CN"/>
              </w:rPr>
            </w:pPr>
            <w:r>
              <w:rPr>
                <w:rFonts w:hint="eastAsia" w:ascii="宋体" w:hAnsi="宋体" w:eastAsia="宋体" w:cs="宋体"/>
                <w:color w:val="auto"/>
                <w:kern w:val="0"/>
                <w:sz w:val="21"/>
                <w:szCs w:val="21"/>
                <w:highlight w:val="none"/>
                <w:lang w:val="en-US" w:eastAsia="zh-CN" w:bidi="ar-SA"/>
              </w:rPr>
              <w:t>4.实验台配备滑轮（万向轮），可推动可固定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5" w:hRule="atLeast"/>
          <w:jc w:val="center"/>
        </w:trPr>
        <w:tc>
          <w:tcPr>
            <w:tcW w:w="9455" w:type="dxa"/>
            <w:gridSpan w:val="2"/>
          </w:tcPr>
          <w:p>
            <w:pPr>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售后服务要求：</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7.</w:t>
            </w:r>
            <w:r>
              <w:rPr>
                <w:rFonts w:hint="eastAsia" w:ascii="宋体" w:hAnsi="宋体" w:eastAsia="宋体" w:cs="宋体"/>
                <w:i w:val="0"/>
                <w:iCs w:val="0"/>
                <w:color w:val="000000"/>
                <w:kern w:val="0"/>
                <w:sz w:val="21"/>
                <w:szCs w:val="21"/>
                <w:highlight w:val="none"/>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8.</w:t>
            </w:r>
            <w:r>
              <w:rPr>
                <w:rFonts w:hint="eastAsia" w:ascii="宋体" w:hAnsi="宋体" w:eastAsia="宋体" w:cs="宋体"/>
                <w:i w:val="0"/>
                <w:iCs w:val="0"/>
                <w:color w:val="000000"/>
                <w:kern w:val="0"/>
                <w:sz w:val="21"/>
                <w:szCs w:val="21"/>
                <w:highlight w:val="none"/>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10.</w:t>
            </w:r>
            <w:r>
              <w:rPr>
                <w:rFonts w:hint="eastAsia" w:ascii="宋体" w:hAnsi="宋体" w:eastAsia="宋体" w:cs="宋体"/>
                <w:i w:val="0"/>
                <w:iCs w:val="0"/>
                <w:color w:val="000000"/>
                <w:kern w:val="0"/>
                <w:sz w:val="21"/>
                <w:szCs w:val="21"/>
                <w:highlight w:val="none"/>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11.</w:t>
            </w:r>
            <w:r>
              <w:rPr>
                <w:rFonts w:hint="eastAsia" w:ascii="宋体" w:hAnsi="宋体" w:eastAsia="宋体" w:cs="宋体"/>
                <w:i w:val="0"/>
                <w:iCs w:val="0"/>
                <w:color w:val="000000"/>
                <w:kern w:val="0"/>
                <w:sz w:val="21"/>
                <w:szCs w:val="21"/>
                <w:highlight w:val="none"/>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12.</w:t>
            </w:r>
            <w:r>
              <w:rPr>
                <w:rFonts w:hint="eastAsia" w:ascii="宋体" w:hAnsi="宋体" w:eastAsia="宋体" w:cs="宋体"/>
                <w:i w:val="0"/>
                <w:iCs w:val="0"/>
                <w:color w:val="000000"/>
                <w:kern w:val="0"/>
                <w:sz w:val="21"/>
                <w:szCs w:val="21"/>
                <w:highlight w:val="none"/>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13.</w:t>
            </w:r>
            <w:r>
              <w:rPr>
                <w:rFonts w:hint="eastAsia" w:ascii="宋体" w:hAnsi="宋体" w:eastAsia="宋体" w:cs="宋体"/>
                <w:i w:val="0"/>
                <w:iCs w:val="0"/>
                <w:color w:val="000000"/>
                <w:kern w:val="0"/>
                <w:sz w:val="21"/>
                <w:szCs w:val="21"/>
                <w:highlight w:val="none"/>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highlight w:val="none"/>
                <w:u w:val="none"/>
                <w:lang w:val="en-US" w:eastAsia="zh-CN" w:bidi="ar"/>
              </w:rPr>
              <w:t>有临床相关专业经验和相应资质；</w:t>
            </w:r>
          </w:p>
          <w:p>
            <w:pPr>
              <w:pStyle w:val="28"/>
              <w:numPr>
                <w:ilvl w:val="0"/>
                <w:numId w:val="0"/>
              </w:numPr>
              <w:jc w:val="left"/>
              <w:rPr>
                <w:rFonts w:hint="eastAsia" w:ascii="宋体" w:hAnsi="宋体" w:eastAsia="宋体" w:cs="宋体"/>
                <w:highlight w:val="none"/>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highlight w:val="none"/>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highlight w:val="none"/>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7"/>
        <w:rPr>
          <w:rFonts w:hint="eastAsia"/>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2"/>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2"/>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2"/>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2"/>
        <w:spacing w:line="360" w:lineRule="auto"/>
        <w:rPr>
          <w:rFonts w:hAnsi="宋体" w:cs="宋体"/>
          <w:color w:val="auto"/>
          <w:highlight w:val="none"/>
        </w:rPr>
      </w:pPr>
    </w:p>
    <w:p>
      <w:pPr>
        <w:pStyle w:val="12"/>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2"/>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19989229"/>
      <w:bookmarkStart w:id="12" w:name="_Toc256408661"/>
      <w:bookmarkStart w:id="13" w:name="_Toc449013654"/>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2"/>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2"/>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2"/>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2"/>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8"/>
        <w:numPr>
          <w:ilvl w:val="0"/>
          <w:numId w:val="3"/>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8"/>
        <w:numPr>
          <w:ilvl w:val="0"/>
          <w:numId w:val="3"/>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8"/>
        <w:numPr>
          <w:ilvl w:val="0"/>
          <w:numId w:val="3"/>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2"/>
        <w:rPr>
          <w:rFonts w:hint="eastAsia"/>
          <w:sz w:val="30"/>
          <w:szCs w:val="30"/>
          <w:highlight w:val="none"/>
          <w:lang w:val="en-US" w:eastAsia="zh-CN"/>
        </w:rPr>
      </w:pPr>
    </w:p>
    <w:p>
      <w:pPr>
        <w:pStyle w:val="2"/>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2"/>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8"/>
        <w:keepNext w:val="0"/>
        <w:keepLines w:val="0"/>
        <w:pageBreakBefore w:val="0"/>
        <w:widowControl w:val="0"/>
        <w:numPr>
          <w:ilvl w:val="0"/>
          <w:numId w:val="4"/>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5"/>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2"/>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8"/>
        <w:numPr>
          <w:ilvl w:val="0"/>
          <w:numId w:val="6"/>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8"/>
        <w:numPr>
          <w:ilvl w:val="0"/>
          <w:numId w:val="7"/>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2"/>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7"/>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7"/>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2"/>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3"/>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5B6EBE5"/>
    <w:multiLevelType w:val="singleLevel"/>
    <w:tmpl w:val="15B6EBE5"/>
    <w:lvl w:ilvl="0" w:tentative="0">
      <w:start w:val="1"/>
      <w:numFmt w:val="decimal"/>
      <w:suff w:val="space"/>
      <w:lvlText w:val="%1."/>
      <w:lvlJc w:val="left"/>
      <w:rPr>
        <w:rFonts w:hint="default"/>
        <w:highlight w:val="none"/>
      </w:rPr>
    </w:lvl>
  </w:abstractNum>
  <w:abstractNum w:abstractNumId="3">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485B3C"/>
    <w:rsid w:val="0AA7147C"/>
    <w:rsid w:val="0AB62C98"/>
    <w:rsid w:val="0B597947"/>
    <w:rsid w:val="0B6214FB"/>
    <w:rsid w:val="0B9C3B6A"/>
    <w:rsid w:val="0BBF4658"/>
    <w:rsid w:val="0C3258D1"/>
    <w:rsid w:val="0C3D34F4"/>
    <w:rsid w:val="0C517711"/>
    <w:rsid w:val="0C966AEA"/>
    <w:rsid w:val="0CD43105"/>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667974"/>
    <w:rsid w:val="17887209"/>
    <w:rsid w:val="17D6162A"/>
    <w:rsid w:val="17F74DB8"/>
    <w:rsid w:val="18901F7E"/>
    <w:rsid w:val="18B057C0"/>
    <w:rsid w:val="18FC7CF7"/>
    <w:rsid w:val="19396934"/>
    <w:rsid w:val="198527A8"/>
    <w:rsid w:val="1A137F5A"/>
    <w:rsid w:val="1A2F1AD2"/>
    <w:rsid w:val="1A6F49F8"/>
    <w:rsid w:val="1ABD7014"/>
    <w:rsid w:val="1B137BE6"/>
    <w:rsid w:val="1B1A5733"/>
    <w:rsid w:val="1B5B06BC"/>
    <w:rsid w:val="1B6E4AE2"/>
    <w:rsid w:val="1B8C07CC"/>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6C7AC3"/>
    <w:rsid w:val="24A91778"/>
    <w:rsid w:val="24C11C45"/>
    <w:rsid w:val="24CA45F1"/>
    <w:rsid w:val="24EE1B49"/>
    <w:rsid w:val="24EF01F3"/>
    <w:rsid w:val="2500285A"/>
    <w:rsid w:val="25007AD8"/>
    <w:rsid w:val="250D579E"/>
    <w:rsid w:val="25331A9A"/>
    <w:rsid w:val="25494348"/>
    <w:rsid w:val="259667D1"/>
    <w:rsid w:val="25BA7C5B"/>
    <w:rsid w:val="26204A40"/>
    <w:rsid w:val="264A3166"/>
    <w:rsid w:val="265B2355"/>
    <w:rsid w:val="26814A58"/>
    <w:rsid w:val="268F3B37"/>
    <w:rsid w:val="26B75F6B"/>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E140B7"/>
    <w:rsid w:val="2A1908E7"/>
    <w:rsid w:val="2A334B6C"/>
    <w:rsid w:val="2A457B20"/>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C3697"/>
    <w:rsid w:val="2DF4181D"/>
    <w:rsid w:val="2DF44523"/>
    <w:rsid w:val="2E997E3E"/>
    <w:rsid w:val="2EA9114B"/>
    <w:rsid w:val="2ED449DD"/>
    <w:rsid w:val="2F5C6B97"/>
    <w:rsid w:val="2F675CA4"/>
    <w:rsid w:val="2F996B56"/>
    <w:rsid w:val="2FC13F2A"/>
    <w:rsid w:val="301104A3"/>
    <w:rsid w:val="303B1B22"/>
    <w:rsid w:val="30632B87"/>
    <w:rsid w:val="30D40010"/>
    <w:rsid w:val="30DD098E"/>
    <w:rsid w:val="30FE589E"/>
    <w:rsid w:val="31554C27"/>
    <w:rsid w:val="317767B0"/>
    <w:rsid w:val="31940280"/>
    <w:rsid w:val="319F0724"/>
    <w:rsid w:val="31B359FE"/>
    <w:rsid w:val="31D924B7"/>
    <w:rsid w:val="32135C6C"/>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BC427C"/>
    <w:rsid w:val="38D176A1"/>
    <w:rsid w:val="38EC0971"/>
    <w:rsid w:val="39653E32"/>
    <w:rsid w:val="398D7B6D"/>
    <w:rsid w:val="39BC591B"/>
    <w:rsid w:val="39D771DD"/>
    <w:rsid w:val="39DF5AAD"/>
    <w:rsid w:val="3A3D5B99"/>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12C5A7C"/>
    <w:rsid w:val="412C7C92"/>
    <w:rsid w:val="41792E5F"/>
    <w:rsid w:val="419B66BC"/>
    <w:rsid w:val="426C39B2"/>
    <w:rsid w:val="42B23CCD"/>
    <w:rsid w:val="42E5528F"/>
    <w:rsid w:val="432B4239"/>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6050649"/>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985576"/>
    <w:rsid w:val="4BB6471B"/>
    <w:rsid w:val="4C51240A"/>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A67ECA"/>
    <w:rsid w:val="5332521F"/>
    <w:rsid w:val="53BC6309"/>
    <w:rsid w:val="53E67E71"/>
    <w:rsid w:val="53E95C3D"/>
    <w:rsid w:val="546A0236"/>
    <w:rsid w:val="547A002E"/>
    <w:rsid w:val="547C3373"/>
    <w:rsid w:val="5499619D"/>
    <w:rsid w:val="549E5733"/>
    <w:rsid w:val="550757F5"/>
    <w:rsid w:val="555A708C"/>
    <w:rsid w:val="55824690"/>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FB7ABB"/>
    <w:rsid w:val="592045A4"/>
    <w:rsid w:val="59921DEC"/>
    <w:rsid w:val="59DE576D"/>
    <w:rsid w:val="5A3773F8"/>
    <w:rsid w:val="5A971D70"/>
    <w:rsid w:val="5B23548E"/>
    <w:rsid w:val="5B686961"/>
    <w:rsid w:val="5B6F03CE"/>
    <w:rsid w:val="5B9634FA"/>
    <w:rsid w:val="5B9C5044"/>
    <w:rsid w:val="5B9C5BD2"/>
    <w:rsid w:val="5C177BFF"/>
    <w:rsid w:val="5C3948AE"/>
    <w:rsid w:val="5C3C1834"/>
    <w:rsid w:val="5C9820E8"/>
    <w:rsid w:val="5DD966A6"/>
    <w:rsid w:val="5DDA3530"/>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3045DB3"/>
    <w:rsid w:val="63163B5D"/>
    <w:rsid w:val="63524159"/>
    <w:rsid w:val="63C745D9"/>
    <w:rsid w:val="63DD1280"/>
    <w:rsid w:val="64A24E36"/>
    <w:rsid w:val="64B96719"/>
    <w:rsid w:val="65082B8A"/>
    <w:rsid w:val="650D0D78"/>
    <w:rsid w:val="6510451D"/>
    <w:rsid w:val="65387C9C"/>
    <w:rsid w:val="659A15A4"/>
    <w:rsid w:val="65D32FF8"/>
    <w:rsid w:val="65E13312"/>
    <w:rsid w:val="66B7736C"/>
    <w:rsid w:val="670C4881"/>
    <w:rsid w:val="670E33AA"/>
    <w:rsid w:val="672D2639"/>
    <w:rsid w:val="673B1C09"/>
    <w:rsid w:val="67526DE5"/>
    <w:rsid w:val="675E140E"/>
    <w:rsid w:val="67A25C70"/>
    <w:rsid w:val="67A9494A"/>
    <w:rsid w:val="67CB5D7E"/>
    <w:rsid w:val="682C523E"/>
    <w:rsid w:val="684706A4"/>
    <w:rsid w:val="68E84068"/>
    <w:rsid w:val="68FF5F59"/>
    <w:rsid w:val="691B4096"/>
    <w:rsid w:val="693B5FAC"/>
    <w:rsid w:val="6999306E"/>
    <w:rsid w:val="69F820EF"/>
    <w:rsid w:val="6A082188"/>
    <w:rsid w:val="6A7B0378"/>
    <w:rsid w:val="6AA37F06"/>
    <w:rsid w:val="6AD62492"/>
    <w:rsid w:val="6AE066E2"/>
    <w:rsid w:val="6B480FF5"/>
    <w:rsid w:val="6B5668D9"/>
    <w:rsid w:val="6BEB1F0C"/>
    <w:rsid w:val="6BF60B0A"/>
    <w:rsid w:val="6CDE73B7"/>
    <w:rsid w:val="6D017EAB"/>
    <w:rsid w:val="6DA4338E"/>
    <w:rsid w:val="6E476D7E"/>
    <w:rsid w:val="6E715781"/>
    <w:rsid w:val="6E99293A"/>
    <w:rsid w:val="6EC24A7A"/>
    <w:rsid w:val="6EE3414D"/>
    <w:rsid w:val="6F0B7529"/>
    <w:rsid w:val="6F2A5003"/>
    <w:rsid w:val="70231548"/>
    <w:rsid w:val="70931317"/>
    <w:rsid w:val="70DF7B65"/>
    <w:rsid w:val="71A0676C"/>
    <w:rsid w:val="720832B1"/>
    <w:rsid w:val="72386389"/>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350AD8"/>
    <w:rsid w:val="7A3945A5"/>
    <w:rsid w:val="7A510139"/>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7">
    <w:name w:val="Body Text First Indent"/>
    <w:basedOn w:val="2"/>
    <w:next w:val="8"/>
    <w:qFormat/>
    <w:uiPriority w:val="0"/>
    <w:pPr>
      <w:ind w:firstLine="420" w:firstLineChars="100"/>
    </w:pPr>
  </w:style>
  <w:style w:type="paragraph" w:styleId="8">
    <w:name w:val="toc 6"/>
    <w:basedOn w:val="1"/>
    <w:next w:val="1"/>
    <w:semiHidden/>
    <w:qFormat/>
    <w:uiPriority w:val="0"/>
    <w:pPr>
      <w:ind w:left="1050"/>
      <w:jc w:val="left"/>
    </w:pPr>
    <w:rPr>
      <w:sz w:val="18"/>
      <w:szCs w:val="18"/>
    </w:rPr>
  </w:style>
  <w:style w:type="paragraph" w:styleId="9">
    <w:name w:val="annotation text"/>
    <w:basedOn w:val="1"/>
    <w:qFormat/>
    <w:uiPriority w:val="99"/>
    <w:pPr>
      <w:jc w:val="left"/>
    </w:pPr>
  </w:style>
  <w:style w:type="paragraph" w:styleId="10">
    <w:name w:val="Body Text Indent"/>
    <w:basedOn w:val="1"/>
    <w:next w:val="11"/>
    <w:qFormat/>
    <w:uiPriority w:val="0"/>
    <w:pPr>
      <w:ind w:firstLine="225" w:firstLineChars="225"/>
    </w:pPr>
    <w:rPr>
      <w:rFonts w:ascii="楷体_GB2312" w:hAnsi="楷体_GB2312" w:eastAsia="楷体_GB2312"/>
      <w:sz w:val="32"/>
    </w:rPr>
  </w:style>
  <w:style w:type="paragraph" w:styleId="11">
    <w:name w:val="envelope return"/>
    <w:basedOn w:val="1"/>
    <w:qFormat/>
    <w:uiPriority w:val="0"/>
    <w:pPr>
      <w:snapToGrid w:val="0"/>
    </w:pPr>
    <w:rPr>
      <w:rFonts w:ascii="Arial" w:hAnsi="Arial"/>
    </w:rPr>
  </w:style>
  <w:style w:type="paragraph" w:styleId="12">
    <w:name w:val="Plain Text"/>
    <w:basedOn w:val="1"/>
    <w:next w:val="1"/>
    <w:qFormat/>
    <w:uiPriority w:val="99"/>
    <w:rPr>
      <w:rFonts w:ascii="宋体" w:hAnsi="Courier New"/>
      <w:kern w:val="0"/>
      <w:sz w:val="24"/>
      <w:szCs w:val="21"/>
    </w:rPr>
  </w:style>
  <w:style w:type="paragraph" w:styleId="13">
    <w:name w:val="Date"/>
    <w:basedOn w:val="1"/>
    <w:next w:val="1"/>
    <w:qFormat/>
    <w:uiPriority w:val="0"/>
    <w:pPr>
      <w:ind w:left="100" w:leftChars="2500"/>
    </w:pPr>
    <w:rPr>
      <w:rFonts w:ascii="黑体" w:hAnsi="宋体" w:eastAsia="黑体"/>
      <w:b/>
      <w:bCs/>
      <w:spacing w:val="66"/>
      <w:kern w:val="28"/>
      <w:sz w:val="4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7">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character" w:styleId="21">
    <w:name w:val="annotation reference"/>
    <w:basedOn w:val="18"/>
    <w:qFormat/>
    <w:uiPriority w:val="99"/>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3"/>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18"/>
    <w:qFormat/>
    <w:uiPriority w:val="0"/>
    <w:rPr>
      <w:rFonts w:ascii="Calibri" w:hAnsi="Calibri" w:cs="Calibri"/>
      <w:sz w:val="18"/>
      <w:szCs w:val="18"/>
    </w:rPr>
  </w:style>
  <w:style w:type="character" w:customStyle="1" w:styleId="30">
    <w:name w:val="x5"/>
    <w:basedOn w:val="18"/>
    <w:qFormat/>
    <w:uiPriority w:val="0"/>
    <w:rPr>
      <w:sz w:val="18"/>
      <w:szCs w:val="18"/>
    </w:rPr>
  </w:style>
  <w:style w:type="character" w:customStyle="1" w:styleId="31">
    <w:name w:val="x4"/>
    <w:basedOn w:val="18"/>
    <w:qFormat/>
    <w:uiPriority w:val="0"/>
    <w:rPr>
      <w:b/>
      <w:bCs/>
      <w:sz w:val="24"/>
      <w:szCs w:val="24"/>
    </w:rPr>
  </w:style>
  <w:style w:type="character" w:customStyle="1" w:styleId="32">
    <w:name w:val="x12"/>
    <w:basedOn w:val="18"/>
    <w:qFormat/>
    <w:uiPriority w:val="0"/>
    <w:rPr>
      <w:rFonts w:hint="default" w:ascii="Calibri" w:hAnsi="Calibri" w:cs="Calibri"/>
      <w:b/>
      <w:bCs/>
      <w:sz w:val="24"/>
      <w:szCs w:val="24"/>
    </w:rPr>
  </w:style>
  <w:style w:type="character" w:customStyle="1" w:styleId="33">
    <w:name w:val="x1"/>
    <w:basedOn w:val="18"/>
    <w:qFormat/>
    <w:uiPriority w:val="0"/>
    <w:rPr>
      <w:rFonts w:hint="default" w:ascii="Calibri" w:hAnsi="Calibri" w:cs="Calibri"/>
      <w:sz w:val="20"/>
      <w:szCs w:val="20"/>
    </w:rPr>
  </w:style>
  <w:style w:type="character" w:customStyle="1" w:styleId="34">
    <w:name w:val="x31"/>
    <w:basedOn w:val="18"/>
    <w:qFormat/>
    <w:uiPriority w:val="0"/>
    <w:rPr>
      <w:rFonts w:hint="default" w:ascii="Times New Roman" w:hAnsi="Times New Roman" w:cs="Times New Roman"/>
      <w:sz w:val="20"/>
      <w:szCs w:val="20"/>
    </w:rPr>
  </w:style>
  <w:style w:type="character" w:customStyle="1" w:styleId="35">
    <w:name w:val="x61"/>
    <w:basedOn w:val="18"/>
    <w:qFormat/>
    <w:uiPriority w:val="0"/>
    <w:rPr>
      <w:sz w:val="18"/>
      <w:szCs w:val="18"/>
    </w:rPr>
  </w:style>
  <w:style w:type="character" w:customStyle="1" w:styleId="36">
    <w:name w:val="x9"/>
    <w:basedOn w:val="18"/>
    <w:qFormat/>
    <w:uiPriority w:val="0"/>
    <w:rPr>
      <w:rFonts w:ascii="Sim Sun" w:hAnsi="Sim Sun" w:eastAsia="Sim Sun" w:cs="Sim Sun"/>
      <w:color w:val="000000"/>
      <w:sz w:val="24"/>
      <w:szCs w:val="24"/>
    </w:rPr>
  </w:style>
  <w:style w:type="character" w:customStyle="1" w:styleId="37">
    <w:name w:val="x10"/>
    <w:basedOn w:val="18"/>
    <w:qFormat/>
    <w:uiPriority w:val="0"/>
    <w:rPr>
      <w:rFonts w:ascii="����" w:hAnsi="����" w:eastAsia="����" w:cs="����"/>
      <w:sz w:val="24"/>
      <w:szCs w:val="24"/>
    </w:rPr>
  </w:style>
  <w:style w:type="character" w:customStyle="1" w:styleId="38">
    <w:name w:val="font51"/>
    <w:basedOn w:val="18"/>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18"/>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Layout w:type="fixed"/>
      <w:tblCellMar>
        <w:top w:w="0" w:type="dxa"/>
        <w:left w:w="0" w:type="dxa"/>
        <w:bottom w:w="0" w:type="dxa"/>
        <w:right w:w="0" w:type="dxa"/>
      </w:tblCellMar>
    </w:tblPr>
  </w:style>
  <w:style w:type="paragraph" w:customStyle="1" w:styleId="42">
    <w:name w:val="模板普通正文"/>
    <w:basedOn w:val="10"/>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2025-04-09T07:31:17Z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