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01" w:firstLineChars="50"/>
        <w:jc w:val="center"/>
        <w:textAlignment w:val="auto"/>
        <w:rPr>
          <w:rFonts w:hint="eastAsia" w:hAnsi="宋体"/>
          <w:b/>
          <w:bCs/>
          <w:color w:val="auto"/>
          <w:sz w:val="40"/>
          <w:szCs w:val="32"/>
          <w:highlight w:val="none"/>
        </w:rPr>
      </w:pPr>
      <w:r>
        <w:rPr>
          <w:rFonts w:hint="eastAsia" w:hAnsi="宋体"/>
          <w:b/>
          <w:bCs/>
          <w:color w:val="auto"/>
          <w:sz w:val="40"/>
          <w:szCs w:val="32"/>
          <w:highlight w:val="none"/>
        </w:rPr>
        <w:t>吉林大学第一医院</w:t>
      </w:r>
      <w:r>
        <w:rPr>
          <w:rFonts w:hint="eastAsia" w:hAnsi="宋体"/>
          <w:b/>
          <w:bCs/>
          <w:color w:val="auto"/>
          <w:sz w:val="40"/>
          <w:szCs w:val="32"/>
          <w:highlight w:val="none"/>
          <w:lang w:eastAsia="zh-CN"/>
        </w:rPr>
        <w:t>25-YJ-061</w:t>
      </w:r>
      <w:r>
        <w:rPr>
          <w:rFonts w:hint="eastAsia" w:hAnsi="宋体"/>
          <w:b/>
          <w:bCs/>
          <w:color w:val="auto"/>
          <w:sz w:val="40"/>
          <w:szCs w:val="32"/>
          <w:highlight w:val="none"/>
        </w:rPr>
        <w:t>智慧屏采购项目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25-YJ-061</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3"/>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24593"/>
      <w:bookmarkStart w:id="1" w:name="_Toc7300"/>
      <w:bookmarkStart w:id="2" w:name="_Toc28895"/>
      <w:bookmarkStart w:id="3" w:name="_Toc2118"/>
      <w:bookmarkStart w:id="4" w:name="_Toc11932"/>
      <w:r>
        <w:rPr>
          <w:rFonts w:hint="eastAsia" w:cs="宋体"/>
          <w:sz w:val="33"/>
          <w:szCs w:val="33"/>
          <w:highlight w:val="none"/>
          <w:lang w:val="en-US" w:eastAsia="zh-CN"/>
        </w:rPr>
        <w:t xml:space="preserve">   吉林大学第一医院25-YJ-061智慧屏采购项目</w:t>
      </w:r>
    </w:p>
    <w:p w14:paraId="5151B2C9">
      <w:pPr>
        <w:pStyle w:val="3"/>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w:t>
      </w:r>
      <w:r>
        <w:rPr>
          <w:rFonts w:hint="eastAsia" w:ascii="宋体" w:hAnsi="宋体" w:cs="宋体"/>
          <w:sz w:val="24"/>
          <w:szCs w:val="24"/>
          <w:highlight w:val="none"/>
          <w:lang w:eastAsia="zh-CN"/>
        </w:rPr>
        <w:t>25-YJ-061</w:t>
      </w:r>
      <w:r>
        <w:rPr>
          <w:rFonts w:hint="eastAsia" w:ascii="宋体" w:hAnsi="宋体" w:eastAsia="宋体" w:cs="宋体"/>
          <w:sz w:val="24"/>
          <w:szCs w:val="24"/>
          <w:highlight w:val="none"/>
        </w:rPr>
        <w:t>智慧屏采购项目的潜在供应商应在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25-YJ-061</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2、项目名称：吉林大学第一医院</w:t>
      </w:r>
      <w:r>
        <w:rPr>
          <w:rFonts w:hint="eastAsia" w:ascii="宋体" w:hAnsi="宋体" w:cs="宋体"/>
          <w:sz w:val="24"/>
          <w:szCs w:val="24"/>
          <w:highlight w:val="none"/>
          <w:lang w:eastAsia="zh-CN"/>
        </w:rPr>
        <w:t>25-YJ-061</w:t>
      </w:r>
      <w:r>
        <w:rPr>
          <w:rFonts w:hint="eastAsia" w:ascii="宋体" w:hAnsi="宋体" w:eastAsia="宋体" w:cs="宋体"/>
          <w:sz w:val="24"/>
          <w:szCs w:val="24"/>
          <w:highlight w:val="none"/>
        </w:rPr>
        <w:t>智慧屏采购项目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智慧屏</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2套</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30000元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w:t>
      </w:r>
      <w:bookmarkStart w:id="14" w:name="_GoBack"/>
      <w:bookmarkEnd w:id="14"/>
      <w:r>
        <w:rPr>
          <w:rFonts w:hint="eastAsia" w:ascii="宋体" w:hAnsi="宋体" w:eastAsia="宋体" w:cs="宋体"/>
          <w:sz w:val="24"/>
          <w:szCs w:val="24"/>
          <w:highlight w:val="none"/>
        </w:rPr>
        <w:t>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时间：2025年04月16日10时00分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地点：吉林大学第一医院7号楼B2会议室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2025年04月14日11时00分前将响应文件加盖公章、签字的正本扫描件PDF版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1.智慧屏</w:t>
      </w:r>
    </w:p>
    <w:tbl>
      <w:tblPr>
        <w:tblStyle w:val="37"/>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6628"/>
      </w:tblGrid>
      <w:tr w14:paraId="2A6FA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2332" w:type="dxa"/>
            <w:vAlign w:val="center"/>
          </w:tcPr>
          <w:p w14:paraId="6BAA415D">
            <w:pPr>
              <w:pStyle w:val="36"/>
              <w:spacing w:before="72" w:line="220" w:lineRule="auto"/>
              <w:ind w:left="714"/>
              <w:jc w:val="both"/>
              <w:rPr>
                <w:sz w:val="22"/>
                <w:szCs w:val="22"/>
                <w:highlight w:val="none"/>
              </w:rPr>
            </w:pPr>
            <w:r>
              <w:rPr>
                <w:spacing w:val="3"/>
                <w:sz w:val="22"/>
                <w:szCs w:val="22"/>
                <w:highlight w:val="none"/>
              </w:rPr>
              <w:t>项目序号</w:t>
            </w:r>
          </w:p>
        </w:tc>
        <w:tc>
          <w:tcPr>
            <w:tcW w:w="6628" w:type="dxa"/>
            <w:vAlign w:val="center"/>
          </w:tcPr>
          <w:p w14:paraId="172B0C47">
            <w:pPr>
              <w:pStyle w:val="36"/>
              <w:spacing w:before="72" w:line="220" w:lineRule="auto"/>
              <w:ind w:left="2862"/>
              <w:jc w:val="both"/>
              <w:rPr>
                <w:sz w:val="22"/>
                <w:szCs w:val="22"/>
                <w:highlight w:val="none"/>
              </w:rPr>
            </w:pPr>
            <w:r>
              <w:rPr>
                <w:spacing w:val="-2"/>
                <w:sz w:val="22"/>
                <w:szCs w:val="22"/>
                <w:highlight w:val="none"/>
              </w:rPr>
              <w:t>招标要求</w:t>
            </w:r>
          </w:p>
        </w:tc>
      </w:tr>
      <w:tr w14:paraId="1419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332" w:type="dxa"/>
            <w:vAlign w:val="top"/>
          </w:tcPr>
          <w:p w14:paraId="408BEEE1">
            <w:pPr>
              <w:pStyle w:val="36"/>
              <w:spacing w:before="170" w:line="219" w:lineRule="auto"/>
              <w:ind w:left="714"/>
              <w:rPr>
                <w:sz w:val="22"/>
                <w:szCs w:val="22"/>
                <w:highlight w:val="none"/>
              </w:rPr>
            </w:pPr>
            <w:r>
              <w:rPr>
                <w:spacing w:val="-2"/>
                <w:sz w:val="22"/>
                <w:szCs w:val="22"/>
                <w:highlight w:val="none"/>
              </w:rPr>
              <w:t>产品名称</w:t>
            </w:r>
          </w:p>
        </w:tc>
        <w:tc>
          <w:tcPr>
            <w:tcW w:w="6628" w:type="dxa"/>
            <w:vAlign w:val="top"/>
          </w:tcPr>
          <w:p w14:paraId="598598F3">
            <w:pPr>
              <w:pStyle w:val="36"/>
              <w:spacing w:before="170" w:line="220" w:lineRule="auto"/>
              <w:ind w:left="2973"/>
              <w:rPr>
                <w:sz w:val="22"/>
                <w:szCs w:val="22"/>
                <w:highlight w:val="none"/>
              </w:rPr>
            </w:pPr>
            <w:r>
              <w:rPr>
                <w:spacing w:val="5"/>
                <w:sz w:val="22"/>
                <w:szCs w:val="22"/>
                <w:highlight w:val="none"/>
              </w:rPr>
              <w:t>智慧屏</w:t>
            </w:r>
          </w:p>
        </w:tc>
      </w:tr>
      <w:tr w14:paraId="2CAC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2332" w:type="dxa"/>
            <w:vAlign w:val="top"/>
          </w:tcPr>
          <w:p w14:paraId="4E4A0D61">
            <w:pPr>
              <w:spacing w:line="317" w:lineRule="auto"/>
              <w:rPr>
                <w:rFonts w:ascii="Arial"/>
                <w:sz w:val="21"/>
                <w:highlight w:val="none"/>
              </w:rPr>
            </w:pPr>
          </w:p>
          <w:p w14:paraId="05AD4627">
            <w:pPr>
              <w:pStyle w:val="36"/>
              <w:spacing w:before="72" w:line="219" w:lineRule="auto"/>
              <w:ind w:left="385"/>
              <w:rPr>
                <w:sz w:val="22"/>
                <w:szCs w:val="22"/>
                <w:highlight w:val="none"/>
              </w:rPr>
            </w:pPr>
            <w:r>
              <w:rPr>
                <w:spacing w:val="1"/>
                <w:sz w:val="22"/>
                <w:szCs w:val="22"/>
                <w:highlight w:val="none"/>
              </w:rPr>
              <w:t>产品功能描述★</w:t>
            </w:r>
          </w:p>
        </w:tc>
        <w:tc>
          <w:tcPr>
            <w:tcW w:w="6628" w:type="dxa"/>
            <w:vAlign w:val="top"/>
          </w:tcPr>
          <w:p w14:paraId="55FB5DDD">
            <w:pPr>
              <w:spacing w:line="316" w:lineRule="auto"/>
              <w:rPr>
                <w:rFonts w:ascii="Arial"/>
                <w:sz w:val="21"/>
                <w:highlight w:val="none"/>
              </w:rPr>
            </w:pPr>
          </w:p>
          <w:p w14:paraId="37E14E55">
            <w:pPr>
              <w:pStyle w:val="36"/>
              <w:spacing w:before="71" w:line="219" w:lineRule="auto"/>
              <w:ind w:left="2533"/>
              <w:rPr>
                <w:sz w:val="22"/>
                <w:szCs w:val="22"/>
                <w:highlight w:val="none"/>
              </w:rPr>
            </w:pPr>
            <w:r>
              <w:rPr>
                <w:spacing w:val="-2"/>
                <w:sz w:val="22"/>
                <w:szCs w:val="22"/>
                <w:highlight w:val="none"/>
              </w:rPr>
              <w:t>会议平板一体机</w:t>
            </w:r>
          </w:p>
        </w:tc>
      </w:tr>
      <w:tr w14:paraId="21D8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2332" w:type="dxa"/>
            <w:vAlign w:val="top"/>
          </w:tcPr>
          <w:p w14:paraId="14C63A81">
            <w:pPr>
              <w:spacing w:line="318" w:lineRule="auto"/>
              <w:rPr>
                <w:rFonts w:ascii="Arial"/>
                <w:sz w:val="21"/>
                <w:highlight w:val="none"/>
              </w:rPr>
            </w:pPr>
          </w:p>
          <w:p w14:paraId="46A54FC5">
            <w:pPr>
              <w:pStyle w:val="36"/>
              <w:spacing w:before="72" w:line="219" w:lineRule="auto"/>
              <w:ind w:left="385"/>
              <w:rPr>
                <w:sz w:val="22"/>
                <w:szCs w:val="22"/>
                <w:highlight w:val="none"/>
              </w:rPr>
            </w:pPr>
            <w:r>
              <w:rPr>
                <w:spacing w:val="1"/>
                <w:sz w:val="22"/>
                <w:szCs w:val="22"/>
                <w:highlight w:val="none"/>
              </w:rPr>
              <w:t>产品用途描述★</w:t>
            </w:r>
          </w:p>
        </w:tc>
        <w:tc>
          <w:tcPr>
            <w:tcW w:w="6628" w:type="dxa"/>
            <w:vAlign w:val="top"/>
          </w:tcPr>
          <w:p w14:paraId="28C181B9">
            <w:pPr>
              <w:spacing w:line="318" w:lineRule="auto"/>
              <w:rPr>
                <w:rFonts w:ascii="Arial"/>
                <w:sz w:val="21"/>
                <w:highlight w:val="none"/>
              </w:rPr>
            </w:pPr>
          </w:p>
          <w:p w14:paraId="417EFB06">
            <w:pPr>
              <w:pStyle w:val="36"/>
              <w:spacing w:before="72" w:line="219" w:lineRule="auto"/>
              <w:jc w:val="center"/>
              <w:rPr>
                <w:sz w:val="22"/>
                <w:szCs w:val="22"/>
                <w:highlight w:val="none"/>
              </w:rPr>
            </w:pPr>
            <w:r>
              <w:rPr>
                <w:spacing w:val="4"/>
                <w:sz w:val="23"/>
                <w:szCs w:val="23"/>
                <w:highlight w:val="none"/>
              </w:rPr>
              <w:t>日常办公使用</w:t>
            </w:r>
            <w:r>
              <w:rPr>
                <w:rFonts w:hint="eastAsia"/>
                <w:spacing w:val="4"/>
                <w:sz w:val="23"/>
                <w:szCs w:val="23"/>
                <w:highlight w:val="none"/>
                <w:lang w:eastAsia="zh-CN"/>
              </w:rPr>
              <w:t>、</w:t>
            </w:r>
            <w:r>
              <w:rPr>
                <w:spacing w:val="1"/>
                <w:sz w:val="22"/>
                <w:szCs w:val="22"/>
                <w:highlight w:val="none"/>
              </w:rPr>
              <w:t>日常志愿者培训+项目活动使用</w:t>
            </w:r>
          </w:p>
        </w:tc>
      </w:tr>
      <w:tr w14:paraId="0DEF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2332" w:type="dxa"/>
            <w:vMerge w:val="restart"/>
            <w:tcBorders>
              <w:bottom w:val="nil"/>
            </w:tcBorders>
            <w:vAlign w:val="top"/>
          </w:tcPr>
          <w:p w14:paraId="007EC613">
            <w:pPr>
              <w:spacing w:line="261" w:lineRule="auto"/>
              <w:rPr>
                <w:rFonts w:ascii="Arial"/>
                <w:sz w:val="21"/>
                <w:highlight w:val="none"/>
              </w:rPr>
            </w:pPr>
          </w:p>
          <w:p w14:paraId="40E83141">
            <w:pPr>
              <w:spacing w:line="261" w:lineRule="auto"/>
              <w:rPr>
                <w:rFonts w:ascii="Arial"/>
                <w:sz w:val="21"/>
                <w:highlight w:val="none"/>
              </w:rPr>
            </w:pPr>
          </w:p>
          <w:p w14:paraId="196D1DBF">
            <w:pPr>
              <w:spacing w:line="261" w:lineRule="auto"/>
              <w:rPr>
                <w:rFonts w:ascii="Arial"/>
                <w:sz w:val="21"/>
                <w:highlight w:val="none"/>
              </w:rPr>
            </w:pPr>
          </w:p>
          <w:p w14:paraId="3E6F73A5">
            <w:pPr>
              <w:spacing w:line="261" w:lineRule="auto"/>
              <w:rPr>
                <w:rFonts w:ascii="Arial"/>
                <w:sz w:val="21"/>
                <w:highlight w:val="none"/>
              </w:rPr>
            </w:pPr>
          </w:p>
          <w:p w14:paraId="4DBF5922">
            <w:pPr>
              <w:spacing w:line="261" w:lineRule="auto"/>
              <w:rPr>
                <w:rFonts w:ascii="Arial"/>
                <w:sz w:val="21"/>
                <w:highlight w:val="none"/>
              </w:rPr>
            </w:pPr>
          </w:p>
          <w:p w14:paraId="0E65673F">
            <w:pPr>
              <w:spacing w:line="261" w:lineRule="auto"/>
              <w:rPr>
                <w:rFonts w:ascii="Arial"/>
                <w:sz w:val="21"/>
                <w:highlight w:val="none"/>
              </w:rPr>
            </w:pPr>
          </w:p>
          <w:p w14:paraId="6DC3F9BE">
            <w:pPr>
              <w:spacing w:line="261" w:lineRule="auto"/>
              <w:rPr>
                <w:rFonts w:ascii="Arial"/>
                <w:sz w:val="21"/>
                <w:highlight w:val="none"/>
              </w:rPr>
            </w:pPr>
          </w:p>
          <w:p w14:paraId="51672007">
            <w:pPr>
              <w:spacing w:line="261" w:lineRule="auto"/>
              <w:rPr>
                <w:rFonts w:ascii="Arial"/>
                <w:sz w:val="21"/>
                <w:highlight w:val="none"/>
              </w:rPr>
            </w:pPr>
          </w:p>
          <w:p w14:paraId="43F37B7D">
            <w:pPr>
              <w:spacing w:line="261" w:lineRule="auto"/>
              <w:rPr>
                <w:rFonts w:ascii="Arial"/>
                <w:sz w:val="21"/>
                <w:highlight w:val="none"/>
              </w:rPr>
            </w:pPr>
          </w:p>
          <w:p w14:paraId="217C6AA2">
            <w:pPr>
              <w:spacing w:line="261" w:lineRule="auto"/>
              <w:rPr>
                <w:rFonts w:ascii="Arial"/>
                <w:sz w:val="21"/>
                <w:highlight w:val="none"/>
              </w:rPr>
            </w:pPr>
          </w:p>
          <w:p w14:paraId="309ADE5F">
            <w:pPr>
              <w:spacing w:line="262" w:lineRule="auto"/>
              <w:rPr>
                <w:rFonts w:ascii="Arial"/>
                <w:sz w:val="21"/>
                <w:highlight w:val="none"/>
              </w:rPr>
            </w:pPr>
          </w:p>
          <w:p w14:paraId="083E84B8">
            <w:pPr>
              <w:pStyle w:val="36"/>
              <w:spacing w:before="72" w:line="290" w:lineRule="auto"/>
              <w:ind w:left="934" w:right="185" w:hanging="770"/>
              <w:rPr>
                <w:sz w:val="22"/>
                <w:szCs w:val="22"/>
                <w:highlight w:val="none"/>
              </w:rPr>
            </w:pPr>
            <w:r>
              <w:rPr>
                <w:spacing w:val="-1"/>
                <w:sz w:val="22"/>
                <w:szCs w:val="22"/>
                <w:highlight w:val="none"/>
              </w:rPr>
              <w:t>产品技术参数及配置</w:t>
            </w:r>
            <w:r>
              <w:rPr>
                <w:sz w:val="22"/>
                <w:szCs w:val="22"/>
                <w:highlight w:val="none"/>
              </w:rPr>
              <w:t xml:space="preserve"> </w:t>
            </w:r>
            <w:r>
              <w:rPr>
                <w:spacing w:val="-3"/>
                <w:sz w:val="22"/>
                <w:szCs w:val="22"/>
                <w:highlight w:val="none"/>
              </w:rPr>
              <w:t>要求</w:t>
            </w:r>
          </w:p>
        </w:tc>
        <w:tc>
          <w:tcPr>
            <w:tcW w:w="6628" w:type="dxa"/>
            <w:vAlign w:val="top"/>
          </w:tcPr>
          <w:p w14:paraId="7960B672">
            <w:pPr>
              <w:spacing w:line="409" w:lineRule="auto"/>
              <w:rPr>
                <w:rFonts w:ascii="Arial"/>
                <w:sz w:val="21"/>
                <w:highlight w:val="none"/>
              </w:rPr>
            </w:pPr>
          </w:p>
          <w:p w14:paraId="06E09862">
            <w:pPr>
              <w:pStyle w:val="36"/>
              <w:spacing w:before="71" w:line="219" w:lineRule="auto"/>
              <w:ind w:left="2643"/>
              <w:rPr>
                <w:sz w:val="22"/>
                <w:szCs w:val="22"/>
                <w:highlight w:val="none"/>
              </w:rPr>
            </w:pPr>
            <w:r>
              <w:rPr>
                <w:spacing w:val="2"/>
                <w:sz w:val="22"/>
                <w:szCs w:val="22"/>
                <w:highlight w:val="none"/>
              </w:rPr>
              <w:t>65英寸触摸屏</w:t>
            </w:r>
          </w:p>
        </w:tc>
      </w:tr>
      <w:tr w14:paraId="284F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2332" w:type="dxa"/>
            <w:vMerge w:val="continue"/>
            <w:tcBorders>
              <w:top w:val="nil"/>
              <w:bottom w:val="nil"/>
            </w:tcBorders>
            <w:vAlign w:val="top"/>
          </w:tcPr>
          <w:p w14:paraId="2E2DF5D2">
            <w:pPr>
              <w:rPr>
                <w:rFonts w:ascii="Arial"/>
                <w:sz w:val="21"/>
                <w:highlight w:val="none"/>
              </w:rPr>
            </w:pPr>
          </w:p>
        </w:tc>
        <w:tc>
          <w:tcPr>
            <w:tcW w:w="6628" w:type="dxa"/>
            <w:vAlign w:val="top"/>
          </w:tcPr>
          <w:p w14:paraId="1CE16184">
            <w:pPr>
              <w:spacing w:line="408" w:lineRule="auto"/>
              <w:rPr>
                <w:rFonts w:ascii="Arial"/>
                <w:sz w:val="21"/>
                <w:highlight w:val="none"/>
              </w:rPr>
            </w:pPr>
          </w:p>
          <w:p w14:paraId="18D51A9B">
            <w:pPr>
              <w:pStyle w:val="36"/>
              <w:spacing w:before="72" w:line="219" w:lineRule="auto"/>
              <w:ind w:left="1272"/>
              <w:rPr>
                <w:sz w:val="22"/>
                <w:szCs w:val="22"/>
                <w:highlight w:val="none"/>
              </w:rPr>
            </w:pPr>
            <w:r>
              <w:rPr>
                <w:spacing w:val="-1"/>
                <w:sz w:val="22"/>
                <w:szCs w:val="22"/>
                <w:highlight w:val="none"/>
              </w:rPr>
              <w:t>触摸会议屏+i5模块+移动脚架+红外智能笔</w:t>
            </w:r>
          </w:p>
        </w:tc>
      </w:tr>
      <w:tr w14:paraId="5E91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2332" w:type="dxa"/>
            <w:vMerge w:val="continue"/>
            <w:tcBorders>
              <w:top w:val="nil"/>
              <w:bottom w:val="nil"/>
            </w:tcBorders>
            <w:vAlign w:val="top"/>
          </w:tcPr>
          <w:p w14:paraId="69F6BBC5">
            <w:pPr>
              <w:rPr>
                <w:rFonts w:ascii="Arial"/>
                <w:sz w:val="21"/>
                <w:highlight w:val="none"/>
              </w:rPr>
            </w:pPr>
          </w:p>
        </w:tc>
        <w:tc>
          <w:tcPr>
            <w:tcW w:w="6628" w:type="dxa"/>
            <w:vAlign w:val="top"/>
          </w:tcPr>
          <w:p w14:paraId="4306B9D6">
            <w:pPr>
              <w:spacing w:line="307" w:lineRule="auto"/>
              <w:rPr>
                <w:rFonts w:ascii="Arial"/>
                <w:sz w:val="21"/>
                <w:highlight w:val="none"/>
              </w:rPr>
            </w:pPr>
          </w:p>
          <w:p w14:paraId="4D513FC8">
            <w:pPr>
              <w:pStyle w:val="36"/>
              <w:spacing w:before="72" w:line="266" w:lineRule="auto"/>
              <w:ind w:left="1652" w:right="217" w:hanging="1369"/>
              <w:rPr>
                <w:sz w:val="22"/>
                <w:szCs w:val="22"/>
                <w:highlight w:val="none"/>
              </w:rPr>
            </w:pPr>
            <w:r>
              <w:rPr>
                <w:spacing w:val="2"/>
                <w:sz w:val="22"/>
                <w:szCs w:val="22"/>
                <w:highlight w:val="none"/>
              </w:rPr>
              <w:t>接口：</w:t>
            </w:r>
            <w:r>
              <w:rPr>
                <w:sz w:val="22"/>
                <w:szCs w:val="22"/>
                <w:highlight w:val="none"/>
              </w:rPr>
              <w:t>HDMI</w:t>
            </w:r>
            <w:r>
              <w:rPr>
                <w:spacing w:val="2"/>
                <w:sz w:val="22"/>
                <w:szCs w:val="22"/>
                <w:highlight w:val="none"/>
              </w:rPr>
              <w:t>*2,</w:t>
            </w:r>
            <w:r>
              <w:rPr>
                <w:sz w:val="22"/>
                <w:szCs w:val="22"/>
                <w:highlight w:val="none"/>
              </w:rPr>
              <w:t>USB</w:t>
            </w:r>
            <w:r>
              <w:rPr>
                <w:spacing w:val="2"/>
                <w:sz w:val="22"/>
                <w:szCs w:val="22"/>
                <w:highlight w:val="none"/>
              </w:rPr>
              <w:t>3.0*2,</w:t>
            </w:r>
            <w:r>
              <w:rPr>
                <w:sz w:val="22"/>
                <w:szCs w:val="22"/>
                <w:highlight w:val="none"/>
              </w:rPr>
              <w:t>USB</w:t>
            </w:r>
            <w:r>
              <w:rPr>
                <w:spacing w:val="2"/>
                <w:sz w:val="22"/>
                <w:szCs w:val="22"/>
                <w:highlight w:val="none"/>
              </w:rPr>
              <w:t>2.0*1,</w:t>
            </w:r>
            <w:r>
              <w:rPr>
                <w:sz w:val="22"/>
                <w:szCs w:val="22"/>
                <w:highlight w:val="none"/>
              </w:rPr>
              <w:t>TOUCH</w:t>
            </w:r>
            <w:r>
              <w:rPr>
                <w:spacing w:val="2"/>
                <w:sz w:val="22"/>
                <w:szCs w:val="22"/>
                <w:highlight w:val="none"/>
              </w:rPr>
              <w:t xml:space="preserve"> 2.0*1,</w:t>
            </w:r>
            <w:r>
              <w:rPr>
                <w:sz w:val="22"/>
                <w:szCs w:val="22"/>
                <w:highlight w:val="none"/>
              </w:rPr>
              <w:t>AUDIO</w:t>
            </w:r>
            <w:r>
              <w:rPr>
                <w:spacing w:val="2"/>
                <w:sz w:val="22"/>
                <w:szCs w:val="22"/>
                <w:highlight w:val="none"/>
              </w:rPr>
              <w:t xml:space="preserve"> </w:t>
            </w:r>
            <w:r>
              <w:rPr>
                <w:sz w:val="22"/>
                <w:szCs w:val="22"/>
                <w:highlight w:val="none"/>
              </w:rPr>
              <w:t>OUT</w:t>
            </w:r>
            <w:r>
              <w:rPr>
                <w:spacing w:val="2"/>
                <w:sz w:val="22"/>
                <w:szCs w:val="22"/>
                <w:highlight w:val="none"/>
              </w:rPr>
              <w:t>*1,</w:t>
            </w:r>
            <w:r>
              <w:rPr>
                <w:spacing w:val="8"/>
                <w:sz w:val="22"/>
                <w:szCs w:val="22"/>
                <w:highlight w:val="none"/>
              </w:rPr>
              <w:t xml:space="preserve"> </w:t>
            </w:r>
            <w:r>
              <w:rPr>
                <w:sz w:val="22"/>
                <w:szCs w:val="22"/>
                <w:highlight w:val="none"/>
              </w:rPr>
              <w:t>RS</w:t>
            </w:r>
            <w:r>
              <w:rPr>
                <w:spacing w:val="1"/>
                <w:sz w:val="22"/>
                <w:szCs w:val="22"/>
                <w:highlight w:val="none"/>
              </w:rPr>
              <w:t>232*1,前置全功能</w:t>
            </w:r>
            <w:r>
              <w:rPr>
                <w:sz w:val="22"/>
                <w:szCs w:val="22"/>
                <w:highlight w:val="none"/>
              </w:rPr>
              <w:t>USB</w:t>
            </w:r>
            <w:r>
              <w:rPr>
                <w:spacing w:val="1"/>
                <w:sz w:val="22"/>
                <w:szCs w:val="22"/>
                <w:highlight w:val="none"/>
              </w:rPr>
              <w:t xml:space="preserve"> </w:t>
            </w:r>
            <w:r>
              <w:rPr>
                <w:sz w:val="22"/>
                <w:szCs w:val="22"/>
                <w:highlight w:val="none"/>
              </w:rPr>
              <w:t>Type</w:t>
            </w:r>
            <w:r>
              <w:rPr>
                <w:spacing w:val="1"/>
                <w:sz w:val="22"/>
                <w:szCs w:val="22"/>
                <w:highlight w:val="none"/>
              </w:rPr>
              <w:t>-C*1</w:t>
            </w:r>
          </w:p>
        </w:tc>
      </w:tr>
      <w:tr w14:paraId="4EFE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2332" w:type="dxa"/>
            <w:vMerge w:val="continue"/>
            <w:tcBorders>
              <w:top w:val="nil"/>
              <w:bottom w:val="nil"/>
            </w:tcBorders>
            <w:vAlign w:val="top"/>
          </w:tcPr>
          <w:p w14:paraId="2E79B0DB">
            <w:pPr>
              <w:rPr>
                <w:rFonts w:ascii="Arial"/>
                <w:sz w:val="21"/>
                <w:highlight w:val="none"/>
              </w:rPr>
            </w:pPr>
          </w:p>
        </w:tc>
        <w:tc>
          <w:tcPr>
            <w:tcW w:w="6628" w:type="dxa"/>
            <w:vAlign w:val="top"/>
          </w:tcPr>
          <w:p w14:paraId="368627BB">
            <w:pPr>
              <w:pStyle w:val="36"/>
              <w:spacing w:before="156" w:line="219" w:lineRule="auto"/>
              <w:ind w:left="1382"/>
              <w:rPr>
                <w:sz w:val="22"/>
                <w:szCs w:val="22"/>
                <w:highlight w:val="none"/>
              </w:rPr>
            </w:pPr>
            <w:r>
              <w:rPr>
                <w:sz w:val="22"/>
                <w:szCs w:val="22"/>
                <w:highlight w:val="none"/>
              </w:rPr>
              <w:t>i5模块：内存：SO-DIMM双内存槽DDR4</w:t>
            </w:r>
            <w:r>
              <w:rPr>
                <w:rFonts w:hint="eastAsia"/>
                <w:sz w:val="22"/>
                <w:szCs w:val="22"/>
                <w:highlight w:val="none"/>
                <w:lang w:val="en-US" w:eastAsia="zh-CN"/>
              </w:rPr>
              <w:t xml:space="preserve"> </w:t>
            </w:r>
            <w:r>
              <w:rPr>
                <w:sz w:val="22"/>
                <w:szCs w:val="22"/>
                <w:highlight w:val="none"/>
              </w:rPr>
              <w:t>8G</w:t>
            </w:r>
          </w:p>
          <w:p w14:paraId="57386091">
            <w:pPr>
              <w:pStyle w:val="36"/>
              <w:spacing w:before="109" w:line="220" w:lineRule="auto"/>
              <w:ind w:left="2312"/>
              <w:rPr>
                <w:sz w:val="22"/>
                <w:szCs w:val="22"/>
                <w:highlight w:val="none"/>
              </w:rPr>
            </w:pPr>
            <w:r>
              <w:rPr>
                <w:spacing w:val="-2"/>
                <w:sz w:val="22"/>
                <w:szCs w:val="22"/>
                <w:highlight w:val="none"/>
              </w:rPr>
              <w:t>固态硬盘：SSD</w:t>
            </w:r>
            <w:r>
              <w:rPr>
                <w:spacing w:val="31"/>
                <w:sz w:val="22"/>
                <w:szCs w:val="22"/>
                <w:highlight w:val="none"/>
              </w:rPr>
              <w:t xml:space="preserve"> </w:t>
            </w:r>
            <w:r>
              <w:rPr>
                <w:spacing w:val="-2"/>
                <w:sz w:val="22"/>
                <w:szCs w:val="22"/>
                <w:highlight w:val="none"/>
              </w:rPr>
              <w:t>128G</w:t>
            </w:r>
          </w:p>
          <w:p w14:paraId="56673F5D">
            <w:pPr>
              <w:pStyle w:val="36"/>
              <w:spacing w:before="117" w:line="219" w:lineRule="auto"/>
              <w:ind w:left="1873"/>
              <w:rPr>
                <w:sz w:val="22"/>
                <w:szCs w:val="22"/>
                <w:highlight w:val="none"/>
              </w:rPr>
            </w:pPr>
            <w:r>
              <w:rPr>
                <w:spacing w:val="-2"/>
                <w:sz w:val="22"/>
                <w:szCs w:val="22"/>
                <w:highlight w:val="none"/>
              </w:rPr>
              <w:t>内置系统：Windows</w:t>
            </w:r>
            <w:r>
              <w:rPr>
                <w:spacing w:val="45"/>
                <w:sz w:val="22"/>
                <w:szCs w:val="22"/>
                <w:highlight w:val="none"/>
              </w:rPr>
              <w:t xml:space="preserve"> </w:t>
            </w:r>
            <w:r>
              <w:rPr>
                <w:spacing w:val="-2"/>
                <w:sz w:val="22"/>
                <w:szCs w:val="22"/>
                <w:highlight w:val="none"/>
              </w:rPr>
              <w:t>10企业版</w:t>
            </w:r>
          </w:p>
          <w:p w14:paraId="2E4021F7">
            <w:pPr>
              <w:pStyle w:val="36"/>
              <w:spacing w:before="107" w:line="219" w:lineRule="auto"/>
              <w:ind w:left="612"/>
              <w:rPr>
                <w:sz w:val="22"/>
                <w:szCs w:val="22"/>
                <w:highlight w:val="none"/>
              </w:rPr>
            </w:pPr>
            <w:r>
              <w:rPr>
                <w:sz w:val="22"/>
                <w:szCs w:val="22"/>
                <w:highlight w:val="none"/>
              </w:rPr>
              <w:t>移动脚架：尺寸(长×宽×高)945×600×(1</w:t>
            </w:r>
            <w:r>
              <w:rPr>
                <w:spacing w:val="-1"/>
                <w:sz w:val="22"/>
                <w:szCs w:val="22"/>
                <w:highlight w:val="none"/>
              </w:rPr>
              <w:t>518~1893)mm</w:t>
            </w:r>
          </w:p>
          <w:p w14:paraId="614DA66B">
            <w:pPr>
              <w:pStyle w:val="36"/>
              <w:spacing w:before="141" w:line="194" w:lineRule="auto"/>
              <w:ind w:left="1932"/>
              <w:rPr>
                <w:sz w:val="22"/>
                <w:szCs w:val="22"/>
                <w:highlight w:val="none"/>
              </w:rPr>
            </w:pPr>
            <w:r>
              <w:rPr>
                <w:sz w:val="22"/>
                <w:szCs w:val="22"/>
                <w:highlight w:val="none"/>
              </w:rPr>
              <w:t>智能笔：识别原理</w:t>
            </w:r>
            <w:r>
              <w:rPr>
                <w:rFonts w:hint="eastAsia"/>
                <w:sz w:val="22"/>
                <w:szCs w:val="22"/>
                <w:highlight w:val="none"/>
                <w:lang w:val="en-US" w:eastAsia="zh-CN"/>
              </w:rPr>
              <w:t xml:space="preserve"> </w:t>
            </w:r>
            <w:r>
              <w:rPr>
                <w:sz w:val="22"/>
                <w:szCs w:val="22"/>
                <w:highlight w:val="none"/>
              </w:rPr>
              <w:t>红外+压感</w:t>
            </w:r>
          </w:p>
        </w:tc>
      </w:tr>
      <w:tr w14:paraId="2DB2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2332" w:type="dxa"/>
            <w:vMerge w:val="continue"/>
            <w:tcBorders>
              <w:top w:val="nil"/>
            </w:tcBorders>
            <w:vAlign w:val="top"/>
          </w:tcPr>
          <w:p w14:paraId="43F0CAD2">
            <w:pPr>
              <w:rPr>
                <w:rFonts w:ascii="Arial"/>
                <w:sz w:val="21"/>
                <w:highlight w:val="none"/>
              </w:rPr>
            </w:pPr>
          </w:p>
        </w:tc>
        <w:tc>
          <w:tcPr>
            <w:tcW w:w="6628" w:type="dxa"/>
            <w:vAlign w:val="top"/>
          </w:tcPr>
          <w:p w14:paraId="0C629C65">
            <w:pPr>
              <w:pStyle w:val="36"/>
              <w:spacing w:before="209" w:line="221" w:lineRule="auto"/>
              <w:ind w:left="2973"/>
              <w:rPr>
                <w:sz w:val="22"/>
                <w:szCs w:val="22"/>
                <w:highlight w:val="none"/>
              </w:rPr>
            </w:pPr>
            <w:r>
              <w:rPr>
                <w:spacing w:val="-2"/>
                <w:sz w:val="22"/>
                <w:szCs w:val="22"/>
                <w:highlight w:val="none"/>
              </w:rPr>
              <w:t>双系统</w:t>
            </w:r>
          </w:p>
          <w:p w14:paraId="1CF152E7">
            <w:pPr>
              <w:pStyle w:val="36"/>
              <w:spacing w:before="146" w:line="226" w:lineRule="auto"/>
              <w:ind w:left="2482"/>
              <w:rPr>
                <w:sz w:val="22"/>
                <w:szCs w:val="22"/>
                <w:highlight w:val="none"/>
              </w:rPr>
            </w:pPr>
            <w:r>
              <w:rPr>
                <w:spacing w:val="-1"/>
                <w:sz w:val="22"/>
                <w:szCs w:val="22"/>
                <w:highlight w:val="none"/>
              </w:rPr>
              <w:t>Windows+Android</w:t>
            </w:r>
          </w:p>
        </w:tc>
      </w:tr>
      <w:tr w14:paraId="6B7A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2332" w:type="dxa"/>
            <w:vAlign w:val="top"/>
          </w:tcPr>
          <w:p w14:paraId="63E3A5A3">
            <w:pPr>
              <w:spacing w:line="313" w:lineRule="auto"/>
              <w:rPr>
                <w:rFonts w:ascii="Arial"/>
                <w:sz w:val="21"/>
                <w:highlight w:val="none"/>
              </w:rPr>
            </w:pPr>
          </w:p>
          <w:p w14:paraId="05CFF161">
            <w:pPr>
              <w:pStyle w:val="36"/>
              <w:spacing w:before="71" w:line="259" w:lineRule="auto"/>
              <w:ind w:left="938" w:right="72" w:hanging="880"/>
              <w:rPr>
                <w:sz w:val="22"/>
                <w:szCs w:val="22"/>
                <w:highlight w:val="none"/>
              </w:rPr>
            </w:pPr>
            <w:r>
              <w:rPr>
                <w:b/>
                <w:bCs/>
                <w:spacing w:val="-4"/>
                <w:sz w:val="22"/>
                <w:szCs w:val="22"/>
                <w:highlight w:val="none"/>
              </w:rPr>
              <w:t>产品售后及其他特殊要</w:t>
            </w:r>
            <w:r>
              <w:rPr>
                <w:spacing w:val="7"/>
                <w:sz w:val="22"/>
                <w:szCs w:val="22"/>
                <w:highlight w:val="none"/>
              </w:rPr>
              <w:t xml:space="preserve"> </w:t>
            </w:r>
            <w:r>
              <w:rPr>
                <w:b/>
                <w:bCs/>
                <w:spacing w:val="-5"/>
                <w:sz w:val="22"/>
                <w:szCs w:val="22"/>
                <w:highlight w:val="none"/>
              </w:rPr>
              <w:t>求★</w:t>
            </w:r>
          </w:p>
        </w:tc>
        <w:tc>
          <w:tcPr>
            <w:tcW w:w="6628" w:type="dxa"/>
            <w:vAlign w:val="top"/>
          </w:tcPr>
          <w:p w14:paraId="72D41ADF">
            <w:pPr>
              <w:spacing w:line="336" w:lineRule="auto"/>
              <w:rPr>
                <w:rFonts w:ascii="Arial"/>
                <w:sz w:val="21"/>
                <w:highlight w:val="none"/>
              </w:rPr>
            </w:pPr>
          </w:p>
          <w:p w14:paraId="68E1864C">
            <w:pPr>
              <w:pStyle w:val="36"/>
              <w:spacing w:before="71" w:line="220" w:lineRule="auto"/>
              <w:ind w:left="2643"/>
              <w:rPr>
                <w:sz w:val="22"/>
                <w:szCs w:val="22"/>
                <w:highlight w:val="none"/>
              </w:rPr>
            </w:pPr>
            <w:r>
              <w:rPr>
                <w:spacing w:val="1"/>
                <w:sz w:val="22"/>
                <w:szCs w:val="22"/>
                <w:highlight w:val="none"/>
              </w:rPr>
              <w:t>正常标准即可</w:t>
            </w:r>
          </w:p>
        </w:tc>
      </w:tr>
    </w:tbl>
    <w:p w14:paraId="0BCB7123">
      <w:pPr>
        <w:jc w:val="center"/>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810E3F7">
      <w:pPr>
        <w:rPr>
          <w:rFonts w:hint="default" w:ascii="Times New Roman" w:hAnsi="Times New Roman" w:eastAsia="宋体" w:cs="Times New Roman"/>
          <w:highlight w:val="none"/>
        </w:rPr>
      </w:pPr>
    </w:p>
    <w:p w14:paraId="0758D973">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0880"/>
      <w:bookmarkStart w:id="6" w:name="_Toc7164"/>
      <w:bookmarkStart w:id="7" w:name="_Toc5854"/>
      <w:bookmarkStart w:id="8" w:name="_Toc28369"/>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9E36F3"/>
    <w:rsid w:val="05B227CB"/>
    <w:rsid w:val="06191786"/>
    <w:rsid w:val="06E65CD9"/>
    <w:rsid w:val="06F74FB2"/>
    <w:rsid w:val="07325A44"/>
    <w:rsid w:val="073D614E"/>
    <w:rsid w:val="07C61A2F"/>
    <w:rsid w:val="07E656BE"/>
    <w:rsid w:val="07E65C20"/>
    <w:rsid w:val="084A292B"/>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D966A6"/>
    <w:rsid w:val="5DF620A1"/>
    <w:rsid w:val="5E015851"/>
    <w:rsid w:val="5E360CA9"/>
    <w:rsid w:val="5E837C57"/>
    <w:rsid w:val="60184F52"/>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1342</Words>
  <Characters>1622</Characters>
  <Lines>0</Lines>
  <Paragraphs>0</Paragraphs>
  <TotalTime>5</TotalTime>
  <ScaleCrop>false</ScaleCrop>
  <LinksUpToDate>false</LinksUpToDate>
  <CharactersWithSpaces>1828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2025-04-09T01:59:53Z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64C6A50FBBDF4382AD23054A914C5DF8_13</vt:lpwstr>
  </property>
  <property fmtid="{D5CDD505-2E9C-101B-9397-08002B2CF9AE}" pid="4" name="KSOTemplateDocerSaveRecord">
    <vt:lpwstr>eyJoZGlkIjoiMDliY2MzNmQ3MDVmZjY2ZTQ3ZDljMWI0OGRiMjAzNjgiLCJ1c2VySWQiOiI1OTk5OTg5MjUifQ==</vt:lpwstr>
  </property>
</Properties>
</file>