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4EF2" w14:textId="77777777" w:rsidR="00E126E1" w:rsidRDefault="002854CF">
      <w:pPr>
        <w:spacing w:line="600" w:lineRule="exact"/>
        <w:ind w:left="1285" w:hangingChars="400" w:hanging="1285"/>
        <w:rPr>
          <w:rFonts w:ascii="仿宋" w:eastAsia="仿宋" w:hAnsi="仿宋"/>
          <w:b/>
          <w:sz w:val="32"/>
          <w:szCs w:val="32"/>
        </w:rPr>
      </w:pPr>
      <w:r>
        <w:rPr>
          <w:rFonts w:ascii="仿宋" w:eastAsia="仿宋" w:hAnsi="仿宋" w:hint="eastAsia"/>
          <w:b/>
          <w:sz w:val="32"/>
          <w:szCs w:val="32"/>
        </w:rPr>
        <w:t>附件1：吉林大学第一医院研究生学术业绩奖学金奖励记分标准：</w:t>
      </w:r>
    </w:p>
    <w:p w14:paraId="07937BD9" w14:textId="77777777" w:rsidR="00E126E1" w:rsidRDefault="00E126E1">
      <w:pPr>
        <w:spacing w:line="600" w:lineRule="exact"/>
        <w:rPr>
          <w:rFonts w:ascii="仿宋" w:eastAsia="仿宋" w:hAnsi="仿宋"/>
          <w:sz w:val="32"/>
          <w:szCs w:val="32"/>
        </w:rPr>
      </w:pPr>
    </w:p>
    <w:p w14:paraId="4002F6D1" w14:textId="77777777" w:rsidR="00E126E1" w:rsidRDefault="002854CF">
      <w:pPr>
        <w:spacing w:line="600" w:lineRule="exact"/>
        <w:rPr>
          <w:rFonts w:ascii="仿宋" w:eastAsia="仿宋" w:hAnsi="仿宋"/>
          <w:b/>
          <w:sz w:val="28"/>
          <w:szCs w:val="28"/>
        </w:rPr>
      </w:pPr>
      <w:r>
        <w:rPr>
          <w:rFonts w:ascii="仿宋" w:eastAsia="仿宋" w:hAnsi="仿宋" w:hint="eastAsia"/>
          <w:b/>
          <w:sz w:val="28"/>
          <w:szCs w:val="28"/>
        </w:rPr>
        <w:t>一、论文成果</w:t>
      </w: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766"/>
      </w:tblGrid>
      <w:tr w:rsidR="00E126E1" w14:paraId="5FC3521D" w14:textId="77777777">
        <w:trPr>
          <w:trHeight w:hRule="exact" w:val="945"/>
          <w:jc w:val="center"/>
        </w:trPr>
        <w:tc>
          <w:tcPr>
            <w:tcW w:w="3793" w:type="pct"/>
            <w:vAlign w:val="center"/>
          </w:tcPr>
          <w:p w14:paraId="4CC3989A" w14:textId="77777777" w:rsidR="00E126E1" w:rsidRDefault="002854CF">
            <w:pPr>
              <w:spacing w:line="600" w:lineRule="exact"/>
              <w:jc w:val="center"/>
              <w:rPr>
                <w:rFonts w:ascii="仿宋" w:eastAsia="仿宋" w:hAnsi="仿宋"/>
                <w:sz w:val="28"/>
                <w:szCs w:val="28"/>
              </w:rPr>
            </w:pPr>
            <w:r>
              <w:rPr>
                <w:rFonts w:ascii="仿宋" w:eastAsia="仿宋" w:hAnsi="仿宋" w:hint="eastAsia"/>
                <w:sz w:val="28"/>
                <w:szCs w:val="28"/>
              </w:rPr>
              <w:t>项   目</w:t>
            </w:r>
          </w:p>
        </w:tc>
        <w:tc>
          <w:tcPr>
            <w:tcW w:w="1207" w:type="pct"/>
            <w:vAlign w:val="center"/>
          </w:tcPr>
          <w:p w14:paraId="06C21C46" w14:textId="77777777" w:rsidR="00E126E1" w:rsidRDefault="002854CF">
            <w:pPr>
              <w:spacing w:line="600" w:lineRule="exact"/>
              <w:ind w:firstLineChars="150" w:firstLine="420"/>
              <w:rPr>
                <w:rFonts w:ascii="仿宋" w:eastAsia="仿宋" w:hAnsi="仿宋"/>
                <w:sz w:val="28"/>
                <w:szCs w:val="28"/>
              </w:rPr>
            </w:pPr>
            <w:r>
              <w:rPr>
                <w:rFonts w:ascii="仿宋" w:eastAsia="仿宋" w:hAnsi="仿宋" w:hint="eastAsia"/>
                <w:sz w:val="28"/>
                <w:szCs w:val="28"/>
              </w:rPr>
              <w:t>记分</w:t>
            </w:r>
          </w:p>
        </w:tc>
      </w:tr>
      <w:tr w:rsidR="00E126E1" w14:paraId="6DDE2EEE" w14:textId="77777777">
        <w:trPr>
          <w:cantSplit/>
          <w:trHeight w:val="1352"/>
          <w:jc w:val="center"/>
        </w:trPr>
        <w:tc>
          <w:tcPr>
            <w:tcW w:w="3793" w:type="pct"/>
            <w:vAlign w:val="center"/>
          </w:tcPr>
          <w:p w14:paraId="63321493" w14:textId="77777777" w:rsidR="00E126E1" w:rsidRDefault="002854CF">
            <w:pPr>
              <w:spacing w:line="440" w:lineRule="exact"/>
              <w:rPr>
                <w:rFonts w:ascii="仿宋" w:eastAsia="仿宋" w:hAnsi="仿宋"/>
                <w:sz w:val="28"/>
                <w:szCs w:val="28"/>
              </w:rPr>
            </w:pPr>
            <w:r>
              <w:rPr>
                <w:rFonts w:ascii="仿宋" w:eastAsia="仿宋" w:hAnsi="仿宋" w:hint="eastAsia"/>
                <w:sz w:val="28"/>
                <w:szCs w:val="28"/>
              </w:rPr>
              <w:t>SCI检索论文（4区不计分）</w:t>
            </w:r>
          </w:p>
        </w:tc>
        <w:tc>
          <w:tcPr>
            <w:tcW w:w="1207" w:type="pct"/>
            <w:vAlign w:val="center"/>
          </w:tcPr>
          <w:p w14:paraId="134C36C7" w14:textId="77777777" w:rsidR="00E126E1" w:rsidRDefault="002854CF">
            <w:pPr>
              <w:spacing w:line="440" w:lineRule="exact"/>
              <w:jc w:val="center"/>
              <w:rPr>
                <w:rFonts w:ascii="仿宋" w:eastAsia="仿宋" w:hAnsi="仿宋"/>
                <w:sz w:val="28"/>
                <w:szCs w:val="28"/>
              </w:rPr>
            </w:pPr>
            <w:r>
              <w:rPr>
                <w:rFonts w:ascii="仿宋" w:eastAsia="仿宋" w:hAnsi="仿宋"/>
                <w:sz w:val="28"/>
                <w:szCs w:val="28"/>
              </w:rPr>
              <w:t>IF*1</w:t>
            </w:r>
          </w:p>
        </w:tc>
      </w:tr>
      <w:tr w:rsidR="00E126E1" w14:paraId="2A42649B" w14:textId="77777777">
        <w:trPr>
          <w:cantSplit/>
          <w:trHeight w:hRule="exact" w:val="1248"/>
          <w:jc w:val="center"/>
        </w:trPr>
        <w:tc>
          <w:tcPr>
            <w:tcW w:w="3793" w:type="pct"/>
            <w:vAlign w:val="center"/>
          </w:tcPr>
          <w:p w14:paraId="7FBB5AF7" w14:textId="77777777" w:rsidR="00E126E1" w:rsidRDefault="002854CF">
            <w:pPr>
              <w:spacing w:line="440" w:lineRule="exact"/>
              <w:rPr>
                <w:rFonts w:ascii="仿宋" w:eastAsia="仿宋" w:hAnsi="仿宋"/>
                <w:sz w:val="28"/>
                <w:szCs w:val="28"/>
              </w:rPr>
            </w:pPr>
            <w:r>
              <w:rPr>
                <w:rFonts w:ascii="仿宋" w:eastAsia="仿宋" w:hAnsi="仿宋" w:hint="eastAsia"/>
                <w:sz w:val="28"/>
                <w:szCs w:val="28"/>
              </w:rPr>
              <w:t>中华医学会中华系列、EI检索论文、ISTP检索论文</w:t>
            </w:r>
          </w:p>
        </w:tc>
        <w:tc>
          <w:tcPr>
            <w:tcW w:w="1207" w:type="pct"/>
          </w:tcPr>
          <w:p w14:paraId="07B14C17" w14:textId="77777777" w:rsidR="00DF4B3B" w:rsidRDefault="00DF4B3B">
            <w:pPr>
              <w:spacing w:line="440" w:lineRule="exact"/>
              <w:jc w:val="center"/>
              <w:rPr>
                <w:rFonts w:ascii="仿宋" w:eastAsia="仿宋" w:hAnsi="仿宋"/>
                <w:sz w:val="28"/>
                <w:szCs w:val="28"/>
              </w:rPr>
            </w:pPr>
          </w:p>
          <w:p w14:paraId="519DB555" w14:textId="6EF6A8A9" w:rsidR="00E126E1" w:rsidRDefault="002854CF">
            <w:pPr>
              <w:spacing w:line="440" w:lineRule="exact"/>
              <w:jc w:val="center"/>
              <w:rPr>
                <w:rFonts w:ascii="仿宋" w:eastAsia="仿宋" w:hAnsi="仿宋"/>
                <w:sz w:val="28"/>
                <w:szCs w:val="28"/>
              </w:rPr>
            </w:pPr>
            <w:r>
              <w:rPr>
                <w:rFonts w:ascii="仿宋" w:eastAsia="仿宋" w:hAnsi="仿宋"/>
                <w:sz w:val="28"/>
                <w:szCs w:val="28"/>
              </w:rPr>
              <w:t>4</w:t>
            </w:r>
          </w:p>
        </w:tc>
      </w:tr>
    </w:tbl>
    <w:p w14:paraId="501A6945" w14:textId="77777777" w:rsidR="00E126E1" w:rsidRDefault="002854CF">
      <w:pPr>
        <w:spacing w:line="500" w:lineRule="exact"/>
        <w:ind w:left="840" w:hangingChars="300" w:hanging="840"/>
        <w:rPr>
          <w:rFonts w:ascii="仿宋" w:eastAsia="仿宋" w:hAnsi="仿宋"/>
          <w:sz w:val="28"/>
          <w:szCs w:val="28"/>
        </w:rPr>
      </w:pPr>
      <w:r>
        <w:rPr>
          <w:rFonts w:ascii="仿宋" w:eastAsia="仿宋" w:hAnsi="仿宋" w:hint="eastAsia"/>
          <w:sz w:val="28"/>
          <w:szCs w:val="28"/>
        </w:rPr>
        <w:t>注：1.论文以当年在线检索的数据为准，SCI检索论文分区认定以中科院分区基础版小类的数据为准。</w:t>
      </w:r>
    </w:p>
    <w:p w14:paraId="2045698A" w14:textId="77777777" w:rsidR="00E126E1" w:rsidRDefault="002854CF">
      <w:pPr>
        <w:spacing w:line="500" w:lineRule="exact"/>
        <w:ind w:leftChars="316" w:left="944" w:hangingChars="100" w:hanging="2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.各类科研成果按第一作者或除导师以外第一作者确定加分。</w:t>
      </w:r>
    </w:p>
    <w:p w14:paraId="21EE9512" w14:textId="77777777" w:rsidR="00E126E1" w:rsidRDefault="002854CF">
      <w:pPr>
        <w:spacing w:line="500" w:lineRule="exact"/>
        <w:ind w:leftChars="316" w:left="944" w:hangingChars="100" w:hanging="2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hint="eastAsia"/>
          <w:sz w:val="28"/>
          <w:szCs w:val="28"/>
        </w:rPr>
        <w:t xml:space="preserve"> </w:t>
      </w:r>
      <w:r>
        <w:rPr>
          <w:rFonts w:ascii="仿宋" w:eastAsia="仿宋" w:hAnsi="仿宋" w:hint="eastAsia"/>
          <w:sz w:val="28"/>
          <w:szCs w:val="28"/>
        </w:rPr>
        <w:t>SCI论著和综述。</w:t>
      </w:r>
      <w:proofErr w:type="gramStart"/>
      <w:r>
        <w:rPr>
          <w:rFonts w:ascii="仿宋" w:eastAsia="仿宋" w:hAnsi="仿宋" w:hint="eastAsia"/>
          <w:sz w:val="28"/>
          <w:szCs w:val="28"/>
        </w:rPr>
        <w:t>综述按</w:t>
      </w:r>
      <w:proofErr w:type="gramEnd"/>
      <w:r>
        <w:rPr>
          <w:rFonts w:ascii="仿宋" w:eastAsia="仿宋" w:hAnsi="仿宋" w:hint="eastAsia"/>
          <w:sz w:val="28"/>
          <w:szCs w:val="28"/>
        </w:rPr>
        <w:t>论著的40%计算分数;病例</w:t>
      </w:r>
      <w:proofErr w:type="gramStart"/>
      <w:r>
        <w:rPr>
          <w:rFonts w:ascii="仿宋" w:eastAsia="仿宋" w:hAnsi="仿宋" w:hint="eastAsia"/>
          <w:sz w:val="28"/>
          <w:szCs w:val="28"/>
        </w:rPr>
        <w:t>报道按</w:t>
      </w:r>
      <w:proofErr w:type="gramEnd"/>
      <w:r>
        <w:rPr>
          <w:rFonts w:ascii="仿宋" w:eastAsia="仿宋" w:hAnsi="仿宋" w:hint="eastAsia"/>
          <w:sz w:val="28"/>
          <w:szCs w:val="28"/>
        </w:rPr>
        <w:t>论著的20%计算分数。</w:t>
      </w:r>
    </w:p>
    <w:p w14:paraId="58D9A762" w14:textId="77777777" w:rsidR="00E126E1" w:rsidRDefault="002854CF">
      <w:pPr>
        <w:spacing w:line="500" w:lineRule="exact"/>
        <w:ind w:leftChars="316" w:left="944" w:hangingChars="100" w:hanging="2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.根据SCI文章分区给予相应系数1区*10,2区*6，3区*3。</w:t>
      </w:r>
    </w:p>
    <w:p w14:paraId="30F73E42" w14:textId="77777777" w:rsidR="00E126E1" w:rsidRDefault="002854CF">
      <w:pPr>
        <w:spacing w:line="500" w:lineRule="exact"/>
        <w:ind w:leftChars="316" w:left="944" w:hangingChars="100" w:hanging="2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sz w:val="28"/>
          <w:szCs w:val="28"/>
        </w:rPr>
        <w:t xml:space="preserve"> </w:t>
      </w:r>
      <w:r>
        <w:rPr>
          <w:rFonts w:ascii="仿宋" w:eastAsia="仿宋" w:hAnsi="仿宋" w:hint="eastAsia"/>
          <w:sz w:val="28"/>
          <w:szCs w:val="28"/>
        </w:rPr>
        <w:t>文章署名为多人共同第一作者，只能认定拥有该文章</w:t>
      </w:r>
      <w:r>
        <w:rPr>
          <w:rFonts w:ascii="仿宋" w:eastAsia="仿宋" w:hAnsi="仿宋"/>
          <w:sz w:val="28"/>
          <w:szCs w:val="28"/>
        </w:rPr>
        <w:t>1/N</w:t>
      </w:r>
      <w:r>
        <w:rPr>
          <w:rFonts w:ascii="仿宋" w:eastAsia="仿宋" w:hAnsi="仿宋" w:hint="eastAsia"/>
          <w:sz w:val="28"/>
          <w:szCs w:val="28"/>
        </w:rPr>
        <w:t>的份额（N为共同第一的人数）</w:t>
      </w:r>
    </w:p>
    <w:p w14:paraId="181C33C9" w14:textId="77777777" w:rsidR="00E126E1" w:rsidRDefault="002854CF">
      <w:pPr>
        <w:spacing w:line="600" w:lineRule="exact"/>
        <w:rPr>
          <w:rFonts w:ascii="仿宋" w:eastAsia="仿宋" w:hAnsi="仿宋"/>
          <w:b/>
          <w:sz w:val="28"/>
          <w:szCs w:val="28"/>
        </w:rPr>
      </w:pPr>
      <w:r>
        <w:rPr>
          <w:rFonts w:ascii="仿宋" w:eastAsia="仿宋" w:hAnsi="仿宋" w:hint="eastAsia"/>
          <w:b/>
          <w:sz w:val="28"/>
          <w:szCs w:val="28"/>
        </w:rPr>
        <w:t>二、其他成果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2182"/>
      </w:tblGrid>
      <w:tr w:rsidR="00E126E1" w14:paraId="532DCB4A" w14:textId="77777777">
        <w:trPr>
          <w:trHeight w:hRule="exact" w:val="454"/>
          <w:jc w:val="center"/>
        </w:trPr>
        <w:tc>
          <w:tcPr>
            <w:tcW w:w="3685" w:type="pct"/>
            <w:vAlign w:val="center"/>
          </w:tcPr>
          <w:p w14:paraId="0CFB5647" w14:textId="77777777" w:rsidR="00E126E1" w:rsidRDefault="002854CF">
            <w:pPr>
              <w:spacing w:line="440" w:lineRule="exact"/>
              <w:ind w:firstLineChars="700" w:firstLine="1960"/>
              <w:rPr>
                <w:rFonts w:ascii="仿宋" w:eastAsia="仿宋" w:hAnsi="仿宋"/>
                <w:sz w:val="28"/>
                <w:szCs w:val="28"/>
              </w:rPr>
            </w:pPr>
            <w:r>
              <w:rPr>
                <w:rFonts w:ascii="仿宋" w:eastAsia="仿宋" w:hAnsi="仿宋" w:hint="eastAsia"/>
                <w:sz w:val="28"/>
                <w:szCs w:val="28"/>
              </w:rPr>
              <w:t>项    目</w:t>
            </w:r>
          </w:p>
        </w:tc>
        <w:tc>
          <w:tcPr>
            <w:tcW w:w="1315" w:type="pct"/>
            <w:vAlign w:val="center"/>
          </w:tcPr>
          <w:p w14:paraId="2129945F" w14:textId="77777777" w:rsidR="00E126E1" w:rsidRDefault="002854CF">
            <w:pPr>
              <w:spacing w:line="440" w:lineRule="exact"/>
              <w:jc w:val="center"/>
              <w:rPr>
                <w:rFonts w:ascii="仿宋" w:eastAsia="仿宋" w:hAnsi="仿宋"/>
                <w:sz w:val="28"/>
                <w:szCs w:val="28"/>
              </w:rPr>
            </w:pPr>
            <w:r>
              <w:rPr>
                <w:rFonts w:ascii="仿宋" w:eastAsia="仿宋" w:hAnsi="仿宋" w:hint="eastAsia"/>
                <w:sz w:val="28"/>
                <w:szCs w:val="28"/>
              </w:rPr>
              <w:t>记分</w:t>
            </w:r>
          </w:p>
        </w:tc>
      </w:tr>
      <w:tr w:rsidR="00E126E1" w14:paraId="61EBD69A" w14:textId="77777777">
        <w:trPr>
          <w:trHeight w:hRule="exact" w:val="454"/>
          <w:jc w:val="center"/>
        </w:trPr>
        <w:tc>
          <w:tcPr>
            <w:tcW w:w="3685" w:type="pct"/>
            <w:vAlign w:val="center"/>
          </w:tcPr>
          <w:p w14:paraId="1EDCBA5D" w14:textId="77777777" w:rsidR="00E126E1" w:rsidRDefault="002854CF">
            <w:pPr>
              <w:spacing w:line="400" w:lineRule="exact"/>
              <w:rPr>
                <w:rFonts w:ascii="仿宋" w:eastAsia="仿宋" w:hAnsi="仿宋"/>
                <w:sz w:val="28"/>
                <w:szCs w:val="28"/>
              </w:rPr>
            </w:pPr>
            <w:r>
              <w:rPr>
                <w:rFonts w:ascii="仿宋" w:eastAsia="仿宋" w:hAnsi="仿宋" w:hint="eastAsia"/>
                <w:sz w:val="28"/>
                <w:szCs w:val="28"/>
              </w:rPr>
              <w:t>国家职务发明专利（授权）</w:t>
            </w:r>
          </w:p>
        </w:tc>
        <w:tc>
          <w:tcPr>
            <w:tcW w:w="1315" w:type="pct"/>
            <w:vAlign w:val="center"/>
          </w:tcPr>
          <w:p w14:paraId="14E64B84" w14:textId="77777777" w:rsidR="00E126E1" w:rsidRDefault="002854CF">
            <w:pPr>
              <w:spacing w:line="400" w:lineRule="exact"/>
              <w:jc w:val="center"/>
              <w:rPr>
                <w:rFonts w:ascii="仿宋" w:eastAsia="仿宋" w:hAnsi="仿宋"/>
                <w:sz w:val="28"/>
                <w:szCs w:val="28"/>
              </w:rPr>
            </w:pPr>
            <w:r>
              <w:rPr>
                <w:rFonts w:ascii="仿宋" w:eastAsia="仿宋" w:hAnsi="仿宋" w:hint="eastAsia"/>
                <w:sz w:val="28"/>
                <w:szCs w:val="28"/>
              </w:rPr>
              <w:t>12</w:t>
            </w:r>
          </w:p>
        </w:tc>
      </w:tr>
      <w:tr w:rsidR="00E126E1" w14:paraId="122D9BFE" w14:textId="77777777">
        <w:trPr>
          <w:trHeight w:hRule="exact" w:val="513"/>
          <w:jc w:val="center"/>
        </w:trPr>
        <w:tc>
          <w:tcPr>
            <w:tcW w:w="3685" w:type="pct"/>
            <w:vAlign w:val="center"/>
          </w:tcPr>
          <w:p w14:paraId="2F94AF02" w14:textId="77777777" w:rsidR="00E126E1" w:rsidRDefault="002854CF">
            <w:pPr>
              <w:spacing w:line="400" w:lineRule="exact"/>
              <w:rPr>
                <w:rFonts w:ascii="仿宋" w:eastAsia="仿宋" w:hAnsi="仿宋"/>
                <w:sz w:val="28"/>
                <w:szCs w:val="28"/>
              </w:rPr>
            </w:pPr>
            <w:r>
              <w:rPr>
                <w:rFonts w:ascii="仿宋" w:eastAsia="仿宋" w:hAnsi="仿宋" w:hint="eastAsia"/>
                <w:sz w:val="28"/>
                <w:szCs w:val="28"/>
              </w:rPr>
              <w:t>国际级竞赛特等奖、一等奖、二等奖</w:t>
            </w:r>
          </w:p>
        </w:tc>
        <w:tc>
          <w:tcPr>
            <w:tcW w:w="1315" w:type="pct"/>
            <w:vAlign w:val="center"/>
          </w:tcPr>
          <w:p w14:paraId="760AAA21" w14:textId="77777777" w:rsidR="00E126E1" w:rsidRDefault="002854CF">
            <w:pPr>
              <w:spacing w:line="400" w:lineRule="exact"/>
              <w:jc w:val="center"/>
              <w:rPr>
                <w:rFonts w:ascii="仿宋" w:eastAsia="仿宋" w:hAnsi="仿宋"/>
                <w:sz w:val="28"/>
                <w:szCs w:val="28"/>
              </w:rPr>
            </w:pPr>
            <w:r>
              <w:rPr>
                <w:rFonts w:ascii="仿宋" w:eastAsia="仿宋" w:hAnsi="仿宋" w:hint="eastAsia"/>
                <w:sz w:val="28"/>
                <w:szCs w:val="28"/>
              </w:rPr>
              <w:t>50、30、20</w:t>
            </w:r>
          </w:p>
        </w:tc>
      </w:tr>
      <w:tr w:rsidR="00E126E1" w14:paraId="0CF1D738" w14:textId="77777777">
        <w:trPr>
          <w:trHeight w:hRule="exact" w:val="454"/>
          <w:jc w:val="center"/>
        </w:trPr>
        <w:tc>
          <w:tcPr>
            <w:tcW w:w="3685" w:type="pct"/>
            <w:vAlign w:val="center"/>
          </w:tcPr>
          <w:p w14:paraId="7AC6173E" w14:textId="77777777" w:rsidR="00E126E1" w:rsidRDefault="002854CF">
            <w:pPr>
              <w:spacing w:line="400" w:lineRule="exact"/>
              <w:rPr>
                <w:rFonts w:ascii="仿宋" w:eastAsia="仿宋" w:hAnsi="仿宋"/>
                <w:sz w:val="28"/>
                <w:szCs w:val="28"/>
              </w:rPr>
            </w:pPr>
            <w:r>
              <w:rPr>
                <w:rFonts w:ascii="仿宋" w:eastAsia="仿宋" w:hAnsi="仿宋" w:hint="eastAsia"/>
                <w:sz w:val="28"/>
                <w:szCs w:val="28"/>
              </w:rPr>
              <w:t>国家级竞赛特等奖</w:t>
            </w:r>
          </w:p>
        </w:tc>
        <w:tc>
          <w:tcPr>
            <w:tcW w:w="1315" w:type="pct"/>
            <w:vAlign w:val="center"/>
          </w:tcPr>
          <w:p w14:paraId="1C7699AA" w14:textId="77777777" w:rsidR="00E126E1" w:rsidRDefault="002854CF">
            <w:pPr>
              <w:spacing w:line="400" w:lineRule="exact"/>
              <w:jc w:val="center"/>
              <w:rPr>
                <w:rFonts w:ascii="仿宋" w:eastAsia="仿宋" w:hAnsi="仿宋"/>
                <w:sz w:val="28"/>
                <w:szCs w:val="28"/>
              </w:rPr>
            </w:pPr>
            <w:r>
              <w:rPr>
                <w:rFonts w:ascii="仿宋" w:eastAsia="仿宋" w:hAnsi="仿宋" w:hint="eastAsia"/>
                <w:sz w:val="28"/>
                <w:szCs w:val="28"/>
              </w:rPr>
              <w:t>30</w:t>
            </w:r>
          </w:p>
        </w:tc>
      </w:tr>
      <w:tr w:rsidR="00E126E1" w14:paraId="79909F8B" w14:textId="77777777">
        <w:trPr>
          <w:trHeight w:hRule="exact" w:val="454"/>
          <w:jc w:val="center"/>
        </w:trPr>
        <w:tc>
          <w:tcPr>
            <w:tcW w:w="3685" w:type="pct"/>
            <w:vAlign w:val="center"/>
          </w:tcPr>
          <w:p w14:paraId="34DA2542" w14:textId="77777777" w:rsidR="00E126E1" w:rsidRDefault="002854CF">
            <w:pPr>
              <w:spacing w:line="400" w:lineRule="exact"/>
              <w:rPr>
                <w:rFonts w:ascii="仿宋" w:eastAsia="仿宋" w:hAnsi="仿宋"/>
                <w:sz w:val="28"/>
                <w:szCs w:val="28"/>
              </w:rPr>
            </w:pPr>
            <w:r>
              <w:rPr>
                <w:rFonts w:ascii="仿宋" w:eastAsia="仿宋" w:hAnsi="仿宋" w:hint="eastAsia"/>
                <w:sz w:val="28"/>
                <w:szCs w:val="28"/>
              </w:rPr>
              <w:t>国家级竞赛一等奖</w:t>
            </w:r>
          </w:p>
        </w:tc>
        <w:tc>
          <w:tcPr>
            <w:tcW w:w="1315" w:type="pct"/>
            <w:vAlign w:val="center"/>
          </w:tcPr>
          <w:p w14:paraId="2FD42B5F" w14:textId="77777777" w:rsidR="00E126E1" w:rsidRDefault="002854CF">
            <w:pPr>
              <w:spacing w:line="400" w:lineRule="exact"/>
              <w:jc w:val="center"/>
              <w:rPr>
                <w:rFonts w:ascii="仿宋" w:eastAsia="仿宋" w:hAnsi="仿宋"/>
                <w:sz w:val="28"/>
                <w:szCs w:val="28"/>
              </w:rPr>
            </w:pPr>
            <w:r>
              <w:rPr>
                <w:rFonts w:ascii="仿宋" w:eastAsia="仿宋" w:hAnsi="仿宋" w:hint="eastAsia"/>
                <w:sz w:val="28"/>
                <w:szCs w:val="28"/>
              </w:rPr>
              <w:t>20</w:t>
            </w:r>
          </w:p>
        </w:tc>
      </w:tr>
      <w:tr w:rsidR="00E126E1" w14:paraId="3520CB39" w14:textId="77777777">
        <w:trPr>
          <w:trHeight w:hRule="exact" w:val="454"/>
          <w:jc w:val="center"/>
        </w:trPr>
        <w:tc>
          <w:tcPr>
            <w:tcW w:w="3685" w:type="pct"/>
            <w:vAlign w:val="center"/>
          </w:tcPr>
          <w:p w14:paraId="3C459500" w14:textId="77777777" w:rsidR="00E126E1" w:rsidRDefault="002854CF">
            <w:pPr>
              <w:spacing w:line="400" w:lineRule="exact"/>
              <w:rPr>
                <w:rFonts w:ascii="仿宋" w:eastAsia="仿宋" w:hAnsi="仿宋"/>
                <w:sz w:val="28"/>
                <w:szCs w:val="28"/>
              </w:rPr>
            </w:pPr>
            <w:r>
              <w:rPr>
                <w:rFonts w:ascii="仿宋" w:eastAsia="仿宋" w:hAnsi="仿宋" w:hint="eastAsia"/>
                <w:sz w:val="28"/>
                <w:szCs w:val="28"/>
              </w:rPr>
              <w:t>国家级竞赛二等奖</w:t>
            </w:r>
          </w:p>
        </w:tc>
        <w:tc>
          <w:tcPr>
            <w:tcW w:w="1315" w:type="pct"/>
            <w:vAlign w:val="center"/>
          </w:tcPr>
          <w:p w14:paraId="5472046E" w14:textId="77777777" w:rsidR="00E126E1" w:rsidRDefault="002854CF">
            <w:pPr>
              <w:spacing w:line="400" w:lineRule="exact"/>
              <w:jc w:val="center"/>
              <w:rPr>
                <w:rFonts w:ascii="仿宋" w:eastAsia="仿宋" w:hAnsi="仿宋"/>
                <w:sz w:val="28"/>
                <w:szCs w:val="28"/>
              </w:rPr>
            </w:pPr>
            <w:r>
              <w:rPr>
                <w:rFonts w:ascii="仿宋" w:eastAsia="仿宋" w:hAnsi="仿宋" w:hint="eastAsia"/>
                <w:sz w:val="28"/>
                <w:szCs w:val="28"/>
              </w:rPr>
              <w:t>10</w:t>
            </w:r>
          </w:p>
        </w:tc>
      </w:tr>
    </w:tbl>
    <w:p w14:paraId="46212CB0" w14:textId="77777777" w:rsidR="00E126E1" w:rsidRDefault="002854CF">
      <w:pPr>
        <w:spacing w:line="600" w:lineRule="exact"/>
        <w:ind w:left="840" w:hangingChars="300" w:hanging="840"/>
        <w:rPr>
          <w:rFonts w:ascii="仿宋" w:eastAsia="仿宋" w:hAnsi="仿宋"/>
          <w:sz w:val="28"/>
          <w:szCs w:val="28"/>
        </w:rPr>
      </w:pPr>
      <w:r>
        <w:rPr>
          <w:rFonts w:ascii="仿宋" w:eastAsia="仿宋" w:hAnsi="仿宋" w:hint="eastAsia"/>
          <w:sz w:val="28"/>
          <w:szCs w:val="28"/>
        </w:rPr>
        <w:t>注：1.专利类奖励以学校知识产权管理部门的备案数据为准，其</w:t>
      </w:r>
      <w:proofErr w:type="gramStart"/>
      <w:r>
        <w:rPr>
          <w:rFonts w:ascii="仿宋" w:eastAsia="仿宋" w:hAnsi="仿宋" w:hint="eastAsia"/>
          <w:sz w:val="28"/>
          <w:szCs w:val="28"/>
        </w:rPr>
        <w:t>奖励</w:t>
      </w:r>
      <w:r>
        <w:rPr>
          <w:rFonts w:ascii="仿宋" w:eastAsia="仿宋" w:hAnsi="仿宋" w:hint="eastAsia"/>
          <w:sz w:val="28"/>
          <w:szCs w:val="28"/>
        </w:rPr>
        <w:lastRenderedPageBreak/>
        <w:t>按</w:t>
      </w:r>
      <w:proofErr w:type="gramEnd"/>
      <w:r>
        <w:rPr>
          <w:rFonts w:ascii="仿宋" w:eastAsia="仿宋" w:hAnsi="仿宋" w:hint="eastAsia"/>
          <w:sz w:val="28"/>
          <w:szCs w:val="28"/>
        </w:rPr>
        <w:t>第一发明人或除导师以外的第一发明人确定奖励。</w:t>
      </w:r>
    </w:p>
    <w:p w14:paraId="01BC33C2" w14:textId="77777777" w:rsidR="00E126E1" w:rsidRDefault="002854CF">
      <w:pPr>
        <w:spacing w:line="600" w:lineRule="exact"/>
        <w:ind w:leftChars="304" w:left="918" w:hangingChars="100" w:hanging="280"/>
        <w:rPr>
          <w:rFonts w:ascii="仿宋" w:eastAsia="仿宋" w:hAnsi="仿宋"/>
          <w:sz w:val="28"/>
          <w:szCs w:val="28"/>
        </w:rPr>
      </w:pPr>
      <w:r>
        <w:rPr>
          <w:rFonts w:ascii="仿宋" w:eastAsia="仿宋" w:hAnsi="仿宋" w:hint="eastAsia"/>
          <w:sz w:val="28"/>
          <w:szCs w:val="28"/>
        </w:rPr>
        <w:t>2.国际级和国家级竞赛是指由国际教育组织和教育部及各部委以文件形式下达，由研究生院认定或组织实施的各项竞赛。</w:t>
      </w:r>
    </w:p>
    <w:p w14:paraId="2C1A4875" w14:textId="77777777" w:rsidR="00E126E1" w:rsidRDefault="002854CF">
      <w:pPr>
        <w:spacing w:line="600" w:lineRule="exact"/>
        <w:ind w:firstLineChars="50" w:firstLine="141"/>
        <w:rPr>
          <w:rFonts w:ascii="仿宋" w:eastAsia="仿宋" w:hAnsi="仿宋"/>
          <w:b/>
          <w:sz w:val="28"/>
          <w:szCs w:val="28"/>
        </w:rPr>
      </w:pPr>
      <w:r>
        <w:rPr>
          <w:rFonts w:ascii="仿宋" w:eastAsia="仿宋" w:hAnsi="仿宋" w:hint="eastAsia"/>
          <w:b/>
          <w:sz w:val="28"/>
          <w:szCs w:val="28"/>
        </w:rPr>
        <w:t xml:space="preserve"> 三、相关说明</w:t>
      </w:r>
    </w:p>
    <w:p w14:paraId="075A8614" w14:textId="77777777" w:rsidR="00E126E1" w:rsidRDefault="002854CF">
      <w:pPr>
        <w:spacing w:line="600" w:lineRule="exact"/>
        <w:ind w:firstLineChars="250" w:firstLine="700"/>
        <w:rPr>
          <w:rFonts w:ascii="仿宋" w:eastAsia="仿宋" w:hAnsi="仿宋"/>
          <w:sz w:val="28"/>
          <w:szCs w:val="28"/>
        </w:rPr>
      </w:pPr>
      <w:r>
        <w:rPr>
          <w:rFonts w:ascii="仿宋" w:eastAsia="仿宋" w:hAnsi="仿宋" w:hint="eastAsia"/>
          <w:sz w:val="28"/>
          <w:szCs w:val="28"/>
        </w:rPr>
        <w:t>1.所有成果的第一完成单位须为吉林大学第一医院。</w:t>
      </w:r>
    </w:p>
    <w:p w14:paraId="36D66204" w14:textId="77777777" w:rsidR="00E126E1" w:rsidRDefault="002854CF">
      <w:pPr>
        <w:spacing w:line="600" w:lineRule="exact"/>
        <w:ind w:firstLineChars="250" w:firstLine="70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其他获奖情况由教学部具体认定。</w:t>
      </w:r>
    </w:p>
    <w:p w14:paraId="597B087F" w14:textId="77777777" w:rsidR="00E126E1" w:rsidRDefault="00E126E1">
      <w:pPr>
        <w:ind w:right="1280"/>
        <w:rPr>
          <w:rFonts w:ascii="仿宋" w:eastAsia="仿宋" w:hAnsi="仿宋"/>
          <w:sz w:val="28"/>
          <w:szCs w:val="28"/>
        </w:rPr>
      </w:pPr>
    </w:p>
    <w:sectPr w:rsidR="00E1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3092" w14:textId="77777777" w:rsidR="00C642BB" w:rsidRDefault="00C642BB" w:rsidP="0069411E">
      <w:r>
        <w:separator/>
      </w:r>
    </w:p>
  </w:endnote>
  <w:endnote w:type="continuationSeparator" w:id="0">
    <w:p w14:paraId="161F2598" w14:textId="77777777" w:rsidR="00C642BB" w:rsidRDefault="00C642BB" w:rsidP="0069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4828" w14:textId="77777777" w:rsidR="00C642BB" w:rsidRDefault="00C642BB" w:rsidP="0069411E">
      <w:r>
        <w:separator/>
      </w:r>
    </w:p>
  </w:footnote>
  <w:footnote w:type="continuationSeparator" w:id="0">
    <w:p w14:paraId="0702FB82" w14:textId="77777777" w:rsidR="00C642BB" w:rsidRDefault="00C642BB" w:rsidP="00694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E1"/>
    <w:rsid w:val="00066C24"/>
    <w:rsid w:val="00124F67"/>
    <w:rsid w:val="001C1EC1"/>
    <w:rsid w:val="001E40F2"/>
    <w:rsid w:val="0022718C"/>
    <w:rsid w:val="002854CF"/>
    <w:rsid w:val="004748E1"/>
    <w:rsid w:val="004F0CCA"/>
    <w:rsid w:val="0060458F"/>
    <w:rsid w:val="0067317E"/>
    <w:rsid w:val="0069411E"/>
    <w:rsid w:val="006F2195"/>
    <w:rsid w:val="008A7502"/>
    <w:rsid w:val="008B2693"/>
    <w:rsid w:val="008D0FCF"/>
    <w:rsid w:val="00904B9D"/>
    <w:rsid w:val="009F31C0"/>
    <w:rsid w:val="00A22974"/>
    <w:rsid w:val="00AE0350"/>
    <w:rsid w:val="00C642BB"/>
    <w:rsid w:val="00CE4407"/>
    <w:rsid w:val="00DF4B3B"/>
    <w:rsid w:val="00E126E1"/>
    <w:rsid w:val="45CE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4BE3"/>
  <w15:docId w15:val="{7E4540D4-F3E2-4CB3-8523-1039175D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qFormat="1"/>
    <w:lsdException w:name="Subtitle" w:qFormat="1"/>
    <w:lsdException w:name="Date"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ind w:leftChars="2500" w:left="10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智宇</dc:creator>
  <cp:lastModifiedBy>DXY-OFFICE</cp:lastModifiedBy>
  <cp:revision>37</cp:revision>
  <cp:lastPrinted>2021-09-22T05:21:00Z</cp:lastPrinted>
  <dcterms:created xsi:type="dcterms:W3CDTF">2021-09-01T05:29:00Z</dcterms:created>
  <dcterms:modified xsi:type="dcterms:W3CDTF">2022-09-20T06:45:00Z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ea0ebb3adf284ee892d8233d936168e9</vt:lpwstr>
  </property>
  <property fmtid="{D5CDD505-2E9C-101B-9397-08002B2CF9AE}" pid="3" name="KSOProductBuildVer">
    <vt:lpwstr>2052-11.8.2.9022</vt:lpwstr>
  </property>
</Properties>
</file>